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37" w:rsidRDefault="00855C37" w:rsidP="003160E9">
      <w:pPr>
        <w:spacing w:after="0"/>
        <w:jc w:val="right"/>
        <w:rPr>
          <w:rFonts w:ascii="Times New Roman" w:hAnsi="Times New Roman" w:cs="Times New Roman"/>
        </w:rPr>
      </w:pPr>
      <w:r w:rsidRPr="00855C37">
        <w:rPr>
          <w:rFonts w:ascii="Times New Roman" w:hAnsi="Times New Roman" w:cs="Times New Roman"/>
        </w:rPr>
        <w:t xml:space="preserve">Приложение 1 </w:t>
      </w:r>
    </w:p>
    <w:p w:rsidR="00855C37" w:rsidRDefault="00855C37" w:rsidP="003160E9">
      <w:pPr>
        <w:spacing w:after="0"/>
        <w:jc w:val="right"/>
        <w:rPr>
          <w:rFonts w:ascii="Times New Roman" w:hAnsi="Times New Roman" w:cs="Times New Roman"/>
        </w:rPr>
      </w:pPr>
      <w:r w:rsidRPr="00855C37">
        <w:rPr>
          <w:rFonts w:ascii="Times New Roman" w:hAnsi="Times New Roman" w:cs="Times New Roman"/>
        </w:rPr>
        <w:t xml:space="preserve">к Положению об эффективном контракте с </w:t>
      </w:r>
      <w:r w:rsidR="00D3757B">
        <w:rPr>
          <w:rFonts w:ascii="Times New Roman" w:hAnsi="Times New Roman" w:cs="Times New Roman"/>
        </w:rPr>
        <w:t xml:space="preserve">научно-педагогическими </w:t>
      </w:r>
      <w:r w:rsidRPr="00855C37">
        <w:rPr>
          <w:rFonts w:ascii="Times New Roman" w:hAnsi="Times New Roman" w:cs="Times New Roman"/>
        </w:rPr>
        <w:t xml:space="preserve">работниками </w:t>
      </w:r>
      <w:r>
        <w:rPr>
          <w:rFonts w:ascii="Times New Roman" w:hAnsi="Times New Roman" w:cs="Times New Roman"/>
        </w:rPr>
        <w:t>ГАГУ</w:t>
      </w:r>
      <w:r w:rsidRPr="00855C37">
        <w:rPr>
          <w:rFonts w:ascii="Times New Roman" w:hAnsi="Times New Roman" w:cs="Times New Roman"/>
        </w:rPr>
        <w:t xml:space="preserve"> </w:t>
      </w:r>
    </w:p>
    <w:p w:rsidR="003160E9" w:rsidRPr="00855C37" w:rsidRDefault="003160E9" w:rsidP="003160E9">
      <w:pPr>
        <w:spacing w:after="0"/>
        <w:jc w:val="right"/>
        <w:rPr>
          <w:rFonts w:ascii="Times New Roman" w:hAnsi="Times New Roman" w:cs="Times New Roman"/>
        </w:rPr>
      </w:pPr>
    </w:p>
    <w:p w:rsidR="00CB41BF" w:rsidRPr="00606B1B" w:rsidRDefault="00855C37" w:rsidP="00855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1B">
        <w:rPr>
          <w:rFonts w:ascii="Times New Roman" w:hAnsi="Times New Roman" w:cs="Times New Roman"/>
          <w:b/>
          <w:sz w:val="24"/>
          <w:szCs w:val="24"/>
        </w:rPr>
        <w:t>Перечень показателей эффективности деятельности работников из числа ППС</w:t>
      </w:r>
      <w:r w:rsidR="00D637AB" w:rsidRPr="00606B1B">
        <w:rPr>
          <w:rFonts w:ascii="Times New Roman" w:hAnsi="Times New Roman" w:cs="Times New Roman"/>
          <w:b/>
          <w:sz w:val="24"/>
          <w:szCs w:val="24"/>
        </w:rPr>
        <w:t xml:space="preserve"> и условия</w:t>
      </w:r>
      <w:r w:rsidRPr="0060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AB" w:rsidRPr="00606B1B">
        <w:rPr>
          <w:rFonts w:ascii="Times New Roman" w:hAnsi="Times New Roman" w:cs="Times New Roman"/>
          <w:b/>
          <w:sz w:val="24"/>
          <w:szCs w:val="24"/>
        </w:rPr>
        <w:t>начисления выплаты</w:t>
      </w:r>
      <w:r w:rsidRPr="00606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AB" w:rsidRPr="00606B1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606B1B">
        <w:rPr>
          <w:rFonts w:ascii="Times New Roman" w:hAnsi="Times New Roman" w:cs="Times New Roman"/>
          <w:b/>
          <w:sz w:val="24"/>
          <w:szCs w:val="24"/>
        </w:rPr>
        <w:t>показател</w:t>
      </w:r>
      <w:r w:rsidR="00D637AB" w:rsidRPr="00606B1B">
        <w:rPr>
          <w:rFonts w:ascii="Times New Roman" w:hAnsi="Times New Roman" w:cs="Times New Roman"/>
          <w:b/>
          <w:sz w:val="24"/>
          <w:szCs w:val="24"/>
        </w:rPr>
        <w:t>и</w:t>
      </w:r>
      <w:r w:rsidRPr="00606B1B">
        <w:rPr>
          <w:rFonts w:ascii="Times New Roman" w:hAnsi="Times New Roman" w:cs="Times New Roman"/>
          <w:b/>
          <w:sz w:val="24"/>
          <w:szCs w:val="24"/>
        </w:rPr>
        <w:t xml:space="preserve"> эффективности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3362"/>
        <w:gridCol w:w="3421"/>
        <w:gridCol w:w="1239"/>
        <w:gridCol w:w="2230"/>
        <w:gridCol w:w="2040"/>
        <w:gridCol w:w="1865"/>
      </w:tblGrid>
      <w:tr w:rsidR="00462DB7" w:rsidRPr="00855C37" w:rsidTr="00224B07">
        <w:tc>
          <w:tcPr>
            <w:tcW w:w="629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62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эффективного контракта (показатели эффективности деятельности)</w:t>
            </w:r>
          </w:p>
        </w:tc>
        <w:tc>
          <w:tcPr>
            <w:tcW w:w="3421" w:type="dxa"/>
          </w:tcPr>
          <w:p w:rsidR="00855C37" w:rsidRPr="00855C37" w:rsidRDefault="00855C37" w:rsidP="00F56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 xml:space="preserve">Условия начисления </w:t>
            </w:r>
            <w:r w:rsidR="00F567B4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1239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2230" w:type="dxa"/>
          </w:tcPr>
          <w:p w:rsidR="003F4CFE" w:rsidRDefault="00855C37" w:rsidP="003F4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  <w:p w:rsidR="00855C37" w:rsidRPr="00855C37" w:rsidRDefault="00855C37" w:rsidP="003F4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(групповой или индивидуальный)</w:t>
            </w:r>
          </w:p>
        </w:tc>
        <w:tc>
          <w:tcPr>
            <w:tcW w:w="2040" w:type="dxa"/>
          </w:tcPr>
          <w:p w:rsidR="00855C37" w:rsidRPr="00855C37" w:rsidRDefault="00403F5C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5C37" w:rsidRPr="00855C37">
              <w:rPr>
                <w:rFonts w:ascii="Times New Roman" w:hAnsi="Times New Roman" w:cs="Times New Roman"/>
                <w:sz w:val="20"/>
                <w:szCs w:val="20"/>
              </w:rPr>
              <w:t>азмер или способ определения выплаты</w:t>
            </w:r>
          </w:p>
        </w:tc>
        <w:tc>
          <w:tcPr>
            <w:tcW w:w="1865" w:type="dxa"/>
          </w:tcPr>
          <w:p w:rsidR="00855C37" w:rsidRPr="00D21406" w:rsidRDefault="00855C37" w:rsidP="00D2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Периодичность оценки</w:t>
            </w:r>
          </w:p>
          <w:p w:rsidR="00D21406" w:rsidRPr="00D21406" w:rsidRDefault="00CD14C9" w:rsidP="00D21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2DB7" w:rsidRPr="00855C37" w:rsidTr="00224B07">
        <w:tc>
          <w:tcPr>
            <w:tcW w:w="629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855C37" w:rsidRPr="00B24834" w:rsidRDefault="00BC1A86" w:rsidP="004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9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5" w:type="dxa"/>
          </w:tcPr>
          <w:p w:rsidR="00855C37" w:rsidRPr="00B24834" w:rsidRDefault="00BC1A86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EE2" w:rsidRPr="00855C37" w:rsidTr="00224B07">
        <w:tc>
          <w:tcPr>
            <w:tcW w:w="629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237EE2" w:rsidRPr="00FE16AD" w:rsidRDefault="00D30A92" w:rsidP="004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6AD">
              <w:rPr>
                <w:rFonts w:ascii="Times New Roman" w:hAnsi="Times New Roman" w:cs="Times New Roman"/>
                <w:b/>
                <w:sz w:val="24"/>
                <w:szCs w:val="24"/>
              </w:rPr>
              <w:t>1. Учебная и учебно-методическая деятельность</w:t>
            </w:r>
          </w:p>
        </w:tc>
        <w:tc>
          <w:tcPr>
            <w:tcW w:w="3421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237EE2" w:rsidRPr="00187969" w:rsidRDefault="00237EE2" w:rsidP="0085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FE" w:rsidRPr="00D637AB" w:rsidTr="007631B6">
        <w:trPr>
          <w:trHeight w:val="1610"/>
        </w:trPr>
        <w:tc>
          <w:tcPr>
            <w:tcW w:w="629" w:type="dxa"/>
            <w:vMerge w:val="restart"/>
          </w:tcPr>
          <w:p w:rsidR="003F4CFE" w:rsidRPr="00D637AB" w:rsidRDefault="003F4CFE" w:rsidP="0018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403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Доля иностранных граждан и лиц без гражданства в общей численности обучающихся</w:t>
            </w:r>
          </w:p>
        </w:tc>
        <w:tc>
          <w:tcPr>
            <w:tcW w:w="3421" w:type="dxa"/>
          </w:tcPr>
          <w:p w:rsidR="003F4CFE" w:rsidRDefault="003F4CFE" w:rsidP="00F5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штатным преподавателям при условии подтверждения заведующим кафедрой достижения показателя, установленного программой развитиям ГАГУ на соответствующий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F4CFE" w:rsidRPr="00D637AB" w:rsidRDefault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/ Г</w:t>
            </w: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рупповой (до 5 человек)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выполнения показателя группой  преподавателей - 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сумма делится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преподавателями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коэффициенту трудового участия</w:t>
            </w:r>
          </w:p>
        </w:tc>
        <w:tc>
          <w:tcPr>
            <w:tcW w:w="2040" w:type="dxa"/>
          </w:tcPr>
          <w:p w:rsidR="003F4CFE" w:rsidRPr="00D637AB" w:rsidRDefault="003F4CFE" w:rsidP="00187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15 тыс.руб.</w:t>
            </w:r>
          </w:p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F56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по результатам приемной кампании, в октябре </w:t>
            </w:r>
          </w:p>
        </w:tc>
      </w:tr>
      <w:tr w:rsidR="003F4CFE" w:rsidRPr="00D637AB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заведующему кафедрой при достижении кафедры показателя, установленного программой развитиям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8518C1" w:rsidP="00CF78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5 </w:t>
            </w:r>
            <w:r w:rsidR="003F4CFE"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D637AB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при достижении факультета показателя, установленного программой развитиям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5 тыс.руб.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D637AB" w:rsidTr="00246520">
        <w:trPr>
          <w:trHeight w:val="3588"/>
        </w:trPr>
        <w:tc>
          <w:tcPr>
            <w:tcW w:w="629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Объем доходов от реализации дополнительных профессиональных программ и основных программ профессионального обучения на 1 НПР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штатному преподавателю при условии подтверждения заведующим кафедрой достижения показателя объема реализации дополнительных профессиональных программ и основных программ профессионального обучения на 1 НПР кафедры,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573A04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A04">
              <w:rPr>
                <w:rFonts w:ascii="Times New Roman" w:hAnsi="Times New Roman" w:cs="Times New Roman"/>
                <w:sz w:val="20"/>
                <w:szCs w:val="20"/>
              </w:rPr>
              <w:t xml:space="preserve">30 тыс.руб. 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Единовременно, в апреле</w:t>
            </w:r>
          </w:p>
        </w:tc>
      </w:tr>
      <w:tr w:rsidR="003F4CFE" w:rsidRPr="00D637AB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заведующему при достижении кафедрой показателя объема реализации дополнительных профессиональных программ и основных программ профессионального обучения на 1 НПР кафедры,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15 тыс.руб. 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sz w:val="20"/>
                <w:szCs w:val="20"/>
              </w:rPr>
            </w:pPr>
          </w:p>
        </w:tc>
      </w:tr>
      <w:tr w:rsidR="003F4CFE" w:rsidRPr="00D637AB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при достижении факультетом показателя объема реализации дополнительных профессиональных программ и основных программ профессионального обучения на 1 НПР факультета,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15 тыс.руб. 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sz w:val="20"/>
                <w:szCs w:val="20"/>
              </w:rPr>
            </w:pPr>
          </w:p>
        </w:tc>
      </w:tr>
      <w:tr w:rsidR="003F4CFE" w:rsidRPr="00855C37" w:rsidTr="00132B05">
        <w:trPr>
          <w:trHeight w:val="1610"/>
        </w:trPr>
        <w:tc>
          <w:tcPr>
            <w:tcW w:w="629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Средний балл ЕГЭ студентов,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(средний балл единого государственного экзамена обучающихся, принятых в отчетном году на обучение по очной форме и за счет средств бюджетов Российской Федерации, без учета результатов дополнительных вступительных испытаний)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штатным преподавателям при условии подтверждения заведующим кафедрой достижения показателя, установленного программой развитиям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  <w:p w:rsidR="003F4CFE" w:rsidRPr="00D637AB" w:rsidRDefault="003F4CFE" w:rsidP="003F4C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Групповой (до 5 человек)</w:t>
            </w:r>
          </w:p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15 тыс.руб.</w:t>
            </w:r>
          </w:p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Единовременно, по результатам приемной кампании, в октябре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заведующему при достижении кафедрой показателя, установленного программой развитиям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 5 тыс.руб.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при достижении факультетом показателя, установленного программой развитиям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 5 тыс.руб.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541C40">
        <w:trPr>
          <w:trHeight w:val="2484"/>
        </w:trPr>
        <w:tc>
          <w:tcPr>
            <w:tcW w:w="629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защитивших выпускную квалификационную работу в форме ВКР «Стартап как диплом» в текущем календарном году, не менее 5% от общего выпуска студентов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руководителю(ям),  обучающегося(ихся), защитившего(их) выпускную квалификационную работу в форме ВКР «Стартап как диплом», на основании представления заведующего соответствующей кафедры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Единовременно, по итогам государственной итоговой аттестации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187969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заведующему при достижении кафедрой показателя,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187969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декану при достижении показателя,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Доля ППС в возрасте до 39 лет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заведующему кафедрой при достижении кафедрой показателя,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Единовременно, в октябре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декану при достижении факультетом показателя, установленного программой развития ГАГУ на соответствующий год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10 тыс. руб.</w:t>
            </w:r>
          </w:p>
        </w:tc>
        <w:tc>
          <w:tcPr>
            <w:tcW w:w="1865" w:type="dxa"/>
            <w:vMerge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62" w:type="dxa"/>
          </w:tcPr>
          <w:p w:rsidR="003F4CFE" w:rsidRPr="00606B1B" w:rsidRDefault="003F4CFE" w:rsidP="003F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1B">
              <w:rPr>
                <w:rFonts w:ascii="Times New Roman" w:hAnsi="Times New Roman" w:cs="Times New Roman"/>
                <w:b/>
                <w:sz w:val="24"/>
                <w:szCs w:val="24"/>
              </w:rPr>
              <w:t>2. Научно-исследовательская деятельность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</w:tcPr>
          <w:p w:rsidR="003F4CFE" w:rsidRPr="00D637AB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 w:val="restart"/>
          </w:tcPr>
          <w:p w:rsidR="003F4CFE" w:rsidRPr="00D637AB" w:rsidRDefault="003F4CFE" w:rsidP="003F4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62" w:type="dxa"/>
            <w:vMerge w:val="restart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Объем средств от исследований, разработок, научно-технических и/или реализации творческих проектов по договорам с организациями реального сектора экономики и за счет средств бюджета субъекта Российской Федерации и местных бюджетов на 1 НПР.</w:t>
            </w:r>
          </w:p>
        </w:tc>
        <w:tc>
          <w:tcPr>
            <w:tcW w:w="3421" w:type="dxa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преподавателям по совокупности выполненных проектов с общим объемом финансирования не менее суммы, установленной программой развитиям ГАГУ на соответствующий год на одного исполнителя.</w:t>
            </w:r>
          </w:p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Сумма по каждому проекту, приходящаяся на 1 исполнителя, определяется руководителем проекта исходя из коэффициента трудового участия</w:t>
            </w:r>
          </w:p>
        </w:tc>
        <w:tc>
          <w:tcPr>
            <w:tcW w:w="1239" w:type="dxa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2040" w:type="dxa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>40 тыс. руб.</w:t>
            </w:r>
          </w:p>
        </w:tc>
        <w:tc>
          <w:tcPr>
            <w:tcW w:w="1865" w:type="dxa"/>
            <w:vMerge w:val="restart"/>
          </w:tcPr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7AB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апреле</w:t>
            </w:r>
          </w:p>
          <w:p w:rsidR="003F4CFE" w:rsidRPr="00D637AB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заведующему по совокупности выполненных проектов кафедрой с общим объемом финансирования не менее суммы, установленной программой развитиям ГАГУ на соответствующий годна одного НПР кафедры</w:t>
            </w:r>
          </w:p>
        </w:tc>
        <w:tc>
          <w:tcPr>
            <w:tcW w:w="1239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по совокупности выполненных проектов факультетом /институтом с общим объемом финансирования не менее суммы, установленной программой развитиям ГАГУ на соответствующий годна одного НПР факультета</w:t>
            </w:r>
          </w:p>
        </w:tc>
        <w:tc>
          <w:tcPr>
            <w:tcW w:w="1239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 w:val="restart"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62" w:type="dxa"/>
            <w:vMerge w:val="restart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Объем доходов от результатов интеллектуальной деятельности на 1 НПР.</w:t>
            </w:r>
          </w:p>
        </w:tc>
        <w:tc>
          <w:tcPr>
            <w:tcW w:w="3421" w:type="dxa"/>
          </w:tcPr>
          <w:p w:rsidR="003F4CFE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преподавателям по совокупности Лицензионных договоров о предоставлении права использования (отчуждения исключительного права) на изобретения, полезной модели, промышленного образца, базы данных, программы для ЭВМ на сумму не менее объема доходов от результатов интеллектуальной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на одного НПР, установленной программой развитиям ГАГУ на соответствующий год.</w:t>
            </w:r>
          </w:p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Сумма по одному Лицензионному договору, приходящаяся на 1 НПР делится равномерно на число соавторов,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являющихся штатными работниками</w:t>
            </w: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 ГАГУ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Лицензионных договоров о предоставлении права использования (отчуждения исключительного права) на изобретения, полезной модели, промышленного образца, базы данных, программы для ЭВМ.</w:t>
            </w:r>
          </w:p>
        </w:tc>
        <w:tc>
          <w:tcPr>
            <w:tcW w:w="1239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 w:val="restart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апреле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B620B6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0B6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заведующему при достижении показателя объема доходов от результатов интеллектуальной деятельности на 1 НПР кафедры, установленного программой развития ГАГУ на соответствующий год .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при достижении показателя объема доходов от результатов интеллектуальной деятельности на 1 НПР факультета, установленного программой развития ГАГУ на соответствующий год .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 w:val="restart"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62" w:type="dxa"/>
            <w:vMerge w:val="restart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Объем НИОКР, реализуемых в сфере цифровых технологий</w:t>
            </w:r>
          </w:p>
        </w:tc>
        <w:tc>
          <w:tcPr>
            <w:tcW w:w="3421" w:type="dxa"/>
          </w:tcPr>
          <w:p w:rsidR="003F4CFE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преподавателям по совокупности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НИОКР в сфере цифровых технологий с общим объемом финансирования не менее суммы, установленной программой развитиям ГАГУ на соответствующий годна одного исполнителя.</w:t>
            </w:r>
          </w:p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Сумма по каждой НИР, приходящаяся на 1 исполнителя, определяется руководителем НИР исходя из коэффициента трудового участия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 w:val="restart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апреле </w:t>
            </w:r>
          </w:p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заведующему по совокупности выполненных кафедрой НИОКР в сфере цифровых технологий с общим объемом финансирования не менее 40 тыс. руб. на одного НПР кафедры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декану по совокупности выполненных факультетом /институтом НИОКР в сфере цифровых технологий в сфере цифровых технологий с общим объемом финансирования не менее суммы, установленной программой развитиям ГАГУ на соответствующий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на одного НПР факультета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 w:val="restart"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62" w:type="dxa"/>
            <w:vMerge w:val="restart"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Объем выполненных НИР (финансовый)</w:t>
            </w:r>
          </w:p>
        </w:tc>
        <w:tc>
          <w:tcPr>
            <w:tcW w:w="3421" w:type="dxa"/>
          </w:tcPr>
          <w:p w:rsidR="003F4CFE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преподавателям по совокупности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НИР с общим объемом финансирования не менее суммы, установленной программой развитиям ГАГУ на соответствующий годна одного исполнителя.</w:t>
            </w:r>
          </w:p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Сумма по каждой НИР, приходящаяся на 1 исполнителя, определяется руководителем НИР исходя из коэффициента трудового участия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5" w:type="dxa"/>
            <w:vMerge w:val="restart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апреле</w:t>
            </w:r>
          </w:p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заведующему по совокупности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НИР кафедрой с общим объемом финансирования не менее суммы, установленной программой развитиям ГАГУ на соответствующий годна одного НПР кафедры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  <w:vMerge/>
          </w:tcPr>
          <w:p w:rsidR="003F4CFE" w:rsidRPr="004E7361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vMerge/>
          </w:tcPr>
          <w:p w:rsidR="003F4CFE" w:rsidRPr="003D2322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1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 начисляется декану по совокупности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НИР факультетом с общим объемом финансирования не менее суммы, установленной программой развитиям ГАГУ на соответствующий годна одного НПР факультета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865" w:type="dxa"/>
            <w:vMerge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CFE" w:rsidRPr="00855C37" w:rsidTr="00224B07">
        <w:tc>
          <w:tcPr>
            <w:tcW w:w="629" w:type="dxa"/>
          </w:tcPr>
          <w:p w:rsidR="003F4CFE" w:rsidRPr="00CD6326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32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362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Публикационная активность (Web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Science / Scopus/ RSCI)</w:t>
            </w:r>
          </w:p>
        </w:tc>
        <w:tc>
          <w:tcPr>
            <w:tcW w:w="3421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штатному преподавателю факультета, являющемуся автором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проиндексированной в наукометрических базах 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Science / Scopus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/ RSCI*в отчетном периоде</w:t>
            </w:r>
          </w:p>
        </w:tc>
        <w:tc>
          <w:tcPr>
            <w:tcW w:w="1239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2230" w:type="dxa"/>
          </w:tcPr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</w:tc>
        <w:tc>
          <w:tcPr>
            <w:tcW w:w="2040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за статью в  первом квартиле WoS (первая категория);</w:t>
            </w:r>
          </w:p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>- 70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3D2322">
              <w:rPr>
                <w:rFonts w:ascii="Times New Roman" w:hAnsi="Times New Roman" w:cs="Times New Roman"/>
                <w:sz w:val="20"/>
                <w:szCs w:val="20"/>
              </w:rPr>
              <w:t xml:space="preserve"> за статью во втором квартиле WoS, либо в  первом квартиле Scopus (вторая категория);</w:t>
            </w:r>
          </w:p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за статью в третьем – четвертом квартиле WoS либо во  втором - четвертом квартиле Scopu (третья категория);</w:t>
            </w:r>
          </w:p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за статью WoS/ Scopus (CPCI)  -  Conference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Proceedings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Citation, либо безквартильную публикацию (Q0), либо индексируемую в  RSCI (четвертая категория)</w:t>
            </w:r>
          </w:p>
        </w:tc>
        <w:tc>
          <w:tcPr>
            <w:tcW w:w="1865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Единовременно, после индексации в соответствующей наукометрической базе.</w:t>
            </w:r>
          </w:p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апреле, октябре, декабре</w:t>
            </w:r>
          </w:p>
        </w:tc>
      </w:tr>
      <w:tr w:rsidR="003F4CFE" w:rsidRPr="00855C37" w:rsidTr="00224B07">
        <w:tc>
          <w:tcPr>
            <w:tcW w:w="62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0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362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Издание научной монографии (аффилиация ГАГУ, ISBN, тираж 300)</w:t>
            </w:r>
          </w:p>
        </w:tc>
        <w:tc>
          <w:tcPr>
            <w:tcW w:w="3421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штатному преподавателю факультета, являющемуся автором монографии в отчетном периоде, при условии наличия, рекомендации РИС, аффилиации ГАГУ, ISBN, тиража не менее 300 экземпляров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Доля каждого соавтора определяется главным редактором монографии исходя из коэффициента вклада в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/ Групповой</w:t>
            </w:r>
          </w:p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Доля каждого соавтора определяется главным редактором монографии исходя из коэффициента вклада в результат</w:t>
            </w:r>
          </w:p>
        </w:tc>
        <w:tc>
          <w:tcPr>
            <w:tcW w:w="2040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(пятая категория)</w:t>
            </w:r>
          </w:p>
        </w:tc>
        <w:tc>
          <w:tcPr>
            <w:tcW w:w="1865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Единовременно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после размещения в </w:t>
            </w:r>
            <w:r w:rsidRPr="005D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BD2B6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https://elibrary.ru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апреле, октябре, декабре</w:t>
            </w:r>
          </w:p>
        </w:tc>
      </w:tr>
      <w:tr w:rsidR="003F4CFE" w:rsidRPr="00855C37" w:rsidTr="00224B07">
        <w:tc>
          <w:tcPr>
            <w:tcW w:w="62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362" w:type="dxa"/>
          </w:tcPr>
          <w:p w:rsidR="003F4CFE" w:rsidRPr="00ED700D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Объекты интеллектуальной собственности</w:t>
            </w:r>
          </w:p>
        </w:tc>
        <w:tc>
          <w:tcPr>
            <w:tcW w:w="3421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при наличии соответствующих охранных документов на результаты интеллектуальной деятельности, полученных в отчетном периоде (Согласно политики по интеллектуальной собственности)</w:t>
            </w:r>
          </w:p>
        </w:tc>
        <w:tc>
          <w:tcPr>
            <w:tcW w:w="123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2230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за одно свидетельство о гос. регистрации, патент</w:t>
            </w:r>
          </w:p>
        </w:tc>
        <w:tc>
          <w:tcPr>
            <w:tcW w:w="1865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Единовременно, после получения свидетельства.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апреле, октябре, декабре</w:t>
            </w:r>
          </w:p>
        </w:tc>
      </w:tr>
      <w:tr w:rsidR="003F4CFE" w:rsidRPr="00855C37" w:rsidTr="00224B07">
        <w:tc>
          <w:tcPr>
            <w:tcW w:w="62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362" w:type="dxa"/>
          </w:tcPr>
          <w:p w:rsidR="003F4CFE" w:rsidRPr="00ED700D" w:rsidRDefault="003F4CFE" w:rsidP="003F4C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руководство диссертацией</w:t>
            </w:r>
          </w:p>
        </w:tc>
        <w:tc>
          <w:tcPr>
            <w:tcW w:w="3421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Выплата начисляется  при размещении приказа ВАК о присвоении искомой ученой степени</w:t>
            </w:r>
          </w:p>
        </w:tc>
        <w:tc>
          <w:tcPr>
            <w:tcW w:w="123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2040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 за защиту /руководство докторской диссертации;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 за защиту /руководство кандидатской диссертации</w:t>
            </w:r>
          </w:p>
        </w:tc>
        <w:tc>
          <w:tcPr>
            <w:tcW w:w="1865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Единовременно, после опубликования приказа </w:t>
            </w: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ВАК о присвоении искомой ученой степени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апреле, октябре, декабре</w:t>
            </w:r>
          </w:p>
        </w:tc>
      </w:tr>
      <w:tr w:rsidR="003F4CFE" w:rsidRPr="00855C37" w:rsidTr="00224B07">
        <w:tc>
          <w:tcPr>
            <w:tcW w:w="629" w:type="dxa"/>
          </w:tcPr>
          <w:p w:rsidR="003F4CFE" w:rsidRPr="00187969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E4F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Воспитательная деятельность</w:t>
            </w:r>
          </w:p>
        </w:tc>
        <w:tc>
          <w:tcPr>
            <w:tcW w:w="3421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3F4CFE" w:rsidRPr="00000E4F" w:rsidRDefault="003F4CFE" w:rsidP="003F4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FE" w:rsidRPr="00855C37" w:rsidTr="00224B07">
        <w:tc>
          <w:tcPr>
            <w:tcW w:w="62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62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Руководство студенческой командой - победителем  или победителя в личном зачете  (олимпиады, турниры, конкурсы, общественные мероприятия международного, федерального, регионального уровня)</w:t>
            </w:r>
          </w:p>
        </w:tc>
        <w:tc>
          <w:tcPr>
            <w:tcW w:w="3421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Выплата за руководство студенческой командой - победителем начисляется штатному преподавателю при условии победы команды (или индивидуального участника) в мероприятии из перечня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>инобр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науки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 РФ и ФАДМ (список приоритетных мероприятий составляется ежегодно Департаментом по МП и ВР)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>При наличии подтверждающего документа (диплома, сертификата, благодарственного письма организаторов)</w:t>
            </w:r>
          </w:p>
        </w:tc>
        <w:tc>
          <w:tcPr>
            <w:tcW w:w="1239" w:type="dxa"/>
          </w:tcPr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2230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/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00D">
              <w:rPr>
                <w:rFonts w:ascii="Times New Roman" w:hAnsi="Times New Roman" w:cs="Times New Roman"/>
                <w:sz w:val="20"/>
                <w:szCs w:val="20"/>
              </w:rPr>
              <w:t xml:space="preserve">Групповой. </w:t>
            </w:r>
          </w:p>
          <w:p w:rsidR="003F4CFE" w:rsidRPr="003D2322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>В случае руководства несколькими преподавателями, сумма делится между исполнителями согласно коэффициенту трудового участия</w:t>
            </w:r>
          </w:p>
        </w:tc>
        <w:tc>
          <w:tcPr>
            <w:tcW w:w="2040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мероприятия международного уровня;</w:t>
            </w:r>
          </w:p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мероприятия федерального уровня;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мероприятия регионального уровня.</w:t>
            </w:r>
          </w:p>
        </w:tc>
        <w:tc>
          <w:tcPr>
            <w:tcW w:w="1865" w:type="dxa"/>
          </w:tcPr>
          <w:p w:rsidR="003F4CFE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Единовременно, после предоставления</w:t>
            </w:r>
            <w:r w:rsidRPr="001C74A5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подтверждающего документа (диплома, сертификата, благодарственного письма организаторов)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CFE" w:rsidRPr="00ED700D" w:rsidRDefault="003F4CFE" w:rsidP="003F4C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апреле, октябре, декабре</w:t>
            </w:r>
          </w:p>
        </w:tc>
      </w:tr>
    </w:tbl>
    <w:p w:rsidR="00855C37" w:rsidRDefault="00855C37" w:rsidP="003160E9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55C37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  <w:r w:rsidRPr="00855C37">
        <w:rPr>
          <w:rFonts w:ascii="Times New Roman" w:hAnsi="Times New Roman" w:cs="Times New Roman"/>
        </w:rPr>
        <w:t xml:space="preserve"> </w:t>
      </w:r>
    </w:p>
    <w:p w:rsidR="00855C37" w:rsidRDefault="00855C37" w:rsidP="003160E9">
      <w:pPr>
        <w:spacing w:after="0"/>
        <w:jc w:val="right"/>
        <w:rPr>
          <w:rFonts w:ascii="Times New Roman" w:hAnsi="Times New Roman" w:cs="Times New Roman"/>
        </w:rPr>
      </w:pPr>
      <w:r w:rsidRPr="00855C37">
        <w:rPr>
          <w:rFonts w:ascii="Times New Roman" w:hAnsi="Times New Roman" w:cs="Times New Roman"/>
        </w:rPr>
        <w:t xml:space="preserve">к Положению об эффективном контракте с </w:t>
      </w:r>
      <w:r w:rsidR="00D3757B">
        <w:rPr>
          <w:rFonts w:ascii="Times New Roman" w:hAnsi="Times New Roman" w:cs="Times New Roman"/>
        </w:rPr>
        <w:t xml:space="preserve">научно-педагогическими </w:t>
      </w:r>
      <w:r w:rsidRPr="00855C37">
        <w:rPr>
          <w:rFonts w:ascii="Times New Roman" w:hAnsi="Times New Roman" w:cs="Times New Roman"/>
        </w:rPr>
        <w:t xml:space="preserve">работниками </w:t>
      </w:r>
      <w:r>
        <w:rPr>
          <w:rFonts w:ascii="Times New Roman" w:hAnsi="Times New Roman" w:cs="Times New Roman"/>
        </w:rPr>
        <w:t>ГАГУ</w:t>
      </w:r>
      <w:r w:rsidRPr="00855C37">
        <w:rPr>
          <w:rFonts w:ascii="Times New Roman" w:hAnsi="Times New Roman" w:cs="Times New Roman"/>
        </w:rPr>
        <w:t xml:space="preserve"> </w:t>
      </w:r>
    </w:p>
    <w:p w:rsidR="003160E9" w:rsidRPr="00855C37" w:rsidRDefault="003160E9" w:rsidP="003160E9">
      <w:pPr>
        <w:spacing w:after="0"/>
        <w:jc w:val="right"/>
        <w:rPr>
          <w:rFonts w:ascii="Times New Roman" w:hAnsi="Times New Roman" w:cs="Times New Roman"/>
        </w:rPr>
      </w:pPr>
    </w:p>
    <w:p w:rsidR="00855C37" w:rsidRPr="00606B1B" w:rsidRDefault="00855C37" w:rsidP="00855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B1B">
        <w:rPr>
          <w:rFonts w:ascii="Times New Roman" w:hAnsi="Times New Roman" w:cs="Times New Roman"/>
          <w:b/>
          <w:sz w:val="24"/>
          <w:szCs w:val="24"/>
        </w:rPr>
        <w:t>Порядок сбора, верификации значений показателей эффективности деятельности работников из числа ППС и автоматизации их расчета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004"/>
        <w:gridCol w:w="1843"/>
        <w:gridCol w:w="1559"/>
        <w:gridCol w:w="1418"/>
        <w:gridCol w:w="1417"/>
        <w:gridCol w:w="1507"/>
        <w:gridCol w:w="1418"/>
        <w:gridCol w:w="1859"/>
      </w:tblGrid>
      <w:tr w:rsidR="003160E9" w:rsidTr="003160E9">
        <w:tc>
          <w:tcPr>
            <w:tcW w:w="535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4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эффективного контракта (показатели эффективности деятельности)</w:t>
            </w:r>
          </w:p>
        </w:tc>
        <w:tc>
          <w:tcPr>
            <w:tcW w:w="1843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Основание для ввода данных (расчета) (подтверждающий документ)</w:t>
            </w:r>
          </w:p>
        </w:tc>
        <w:tc>
          <w:tcPr>
            <w:tcW w:w="1559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Способ ввода или расчета</w:t>
            </w:r>
          </w:p>
        </w:tc>
        <w:tc>
          <w:tcPr>
            <w:tcW w:w="1418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Центр ответственности по учету выполнения показателей</w:t>
            </w:r>
          </w:p>
        </w:tc>
        <w:tc>
          <w:tcPr>
            <w:tcW w:w="1417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система, в которой вводится (рассчитывается) показатель</w:t>
            </w:r>
          </w:p>
        </w:tc>
        <w:tc>
          <w:tcPr>
            <w:tcW w:w="1507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Основание (документ) для проверки</w:t>
            </w:r>
          </w:p>
        </w:tc>
        <w:tc>
          <w:tcPr>
            <w:tcW w:w="1418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Центр ответственности по верификации выполнения показателей</w:t>
            </w:r>
          </w:p>
        </w:tc>
        <w:tc>
          <w:tcPr>
            <w:tcW w:w="1859" w:type="dxa"/>
          </w:tcPr>
          <w:p w:rsidR="00855C37" w:rsidRPr="00855C37" w:rsidRDefault="00855C37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C37">
              <w:rPr>
                <w:rFonts w:ascii="Times New Roman" w:hAnsi="Times New Roman" w:cs="Times New Roman"/>
                <w:sz w:val="20"/>
                <w:szCs w:val="20"/>
              </w:rPr>
              <w:t>Способ проверки</w:t>
            </w:r>
          </w:p>
        </w:tc>
      </w:tr>
      <w:tr w:rsidR="00EA4179" w:rsidTr="003160E9">
        <w:tc>
          <w:tcPr>
            <w:tcW w:w="535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7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EA4179" w:rsidRPr="00855C37" w:rsidRDefault="00EA4179" w:rsidP="00855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60E9" w:rsidRPr="005E0C8B" w:rsidTr="003160E9">
        <w:tc>
          <w:tcPr>
            <w:tcW w:w="535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3160E9" w:rsidRPr="00606B1B" w:rsidRDefault="003160E9" w:rsidP="00316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6B1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 учебно-методическая деятельность</w:t>
            </w:r>
          </w:p>
        </w:tc>
        <w:tc>
          <w:tcPr>
            <w:tcW w:w="1843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3160E9" w:rsidRPr="005E0C8B" w:rsidRDefault="003160E9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E48" w:rsidRPr="005E0C8B" w:rsidTr="003160E9">
        <w:tc>
          <w:tcPr>
            <w:tcW w:w="535" w:type="dxa"/>
          </w:tcPr>
          <w:p w:rsidR="00413E48" w:rsidRPr="005E0C8B" w:rsidRDefault="00413E48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04" w:type="dxa"/>
          </w:tcPr>
          <w:p w:rsidR="00413E48" w:rsidRPr="005E0C8B" w:rsidRDefault="00413E48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Доля иностранных граждан и лиц без гражданства в общей численности обучающихся</w:t>
            </w:r>
          </w:p>
        </w:tc>
        <w:tc>
          <w:tcPr>
            <w:tcW w:w="1843" w:type="dxa"/>
          </w:tcPr>
          <w:p w:rsidR="005E0C8B" w:rsidRDefault="005E0C8B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помощника ректора 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по международной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13E48" w:rsidRPr="005E0C8B" w:rsidRDefault="005E0C8B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 ответственного секретаря приемной комиссии</w:t>
            </w:r>
          </w:p>
        </w:tc>
        <w:tc>
          <w:tcPr>
            <w:tcW w:w="1559" w:type="dxa"/>
          </w:tcPr>
          <w:p w:rsidR="00413E48" w:rsidRPr="005E0C8B" w:rsidRDefault="00413E48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413E48" w:rsidRPr="005E0C8B" w:rsidRDefault="005E0C8B" w:rsidP="005E0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Помощник ректора по международной деятельности</w:t>
            </w:r>
          </w:p>
        </w:tc>
        <w:tc>
          <w:tcPr>
            <w:tcW w:w="1417" w:type="dxa"/>
          </w:tcPr>
          <w:p w:rsidR="00413E48" w:rsidRPr="005E0C8B" w:rsidRDefault="00413E48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413E48" w:rsidRPr="005E0C8B" w:rsidRDefault="00413E48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Отчет в Минобрнауки РФ</w:t>
            </w:r>
          </w:p>
        </w:tc>
        <w:tc>
          <w:tcPr>
            <w:tcW w:w="1418" w:type="dxa"/>
          </w:tcPr>
          <w:p w:rsidR="00413E48" w:rsidRPr="005E0C8B" w:rsidRDefault="00606B1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 п</w:t>
            </w:r>
            <w:r w:rsidR="005E0C8B">
              <w:rPr>
                <w:rFonts w:ascii="Times New Roman" w:hAnsi="Times New Roman" w:cs="Times New Roman"/>
                <w:sz w:val="20"/>
                <w:szCs w:val="20"/>
              </w:rPr>
              <w:t>риемн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5E0C8B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59" w:type="dxa"/>
          </w:tcPr>
          <w:p w:rsidR="00413E48" w:rsidRPr="005E0C8B" w:rsidRDefault="00413E48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601F97" w:rsidRPr="005E0C8B" w:rsidTr="003160E9">
        <w:tc>
          <w:tcPr>
            <w:tcW w:w="535" w:type="dxa"/>
          </w:tcPr>
          <w:p w:rsidR="00601F97" w:rsidRPr="005E0C8B" w:rsidRDefault="00601F97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04" w:type="dxa"/>
          </w:tcPr>
          <w:p w:rsidR="00601F97" w:rsidRPr="005E0C8B" w:rsidRDefault="00601F97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Объем доходов от реализации дополнительных профессиональных программ и основных программ профессионального обучения на 1 НПР</w:t>
            </w:r>
          </w:p>
        </w:tc>
        <w:tc>
          <w:tcPr>
            <w:tcW w:w="1843" w:type="dxa"/>
          </w:tcPr>
          <w:p w:rsidR="00601F97" w:rsidRPr="005E0C8B" w:rsidRDefault="005E0C8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куратора 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дополнительн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</w:t>
            </w:r>
            <w:r w:rsidR="00606B1B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="00606B1B">
              <w:rPr>
                <w:rFonts w:ascii="Times New Roman" w:hAnsi="Times New Roman" w:cs="Times New Roman"/>
                <w:sz w:val="20"/>
                <w:szCs w:val="20"/>
              </w:rPr>
              <w:t>ы, заверенная начальником ПФУ</w:t>
            </w:r>
          </w:p>
        </w:tc>
        <w:tc>
          <w:tcPr>
            <w:tcW w:w="1559" w:type="dxa"/>
          </w:tcPr>
          <w:p w:rsidR="00601F97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601F97" w:rsidRPr="005E0C8B" w:rsidRDefault="00606B1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>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1417" w:type="dxa"/>
          </w:tcPr>
          <w:p w:rsidR="00601F97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601F97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Справка-выписка из бухгалтерии </w:t>
            </w:r>
          </w:p>
        </w:tc>
        <w:tc>
          <w:tcPr>
            <w:tcW w:w="1418" w:type="dxa"/>
          </w:tcPr>
          <w:p w:rsidR="00601F97" w:rsidRDefault="00B24834" w:rsidP="0060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606B1B" w:rsidRDefault="00606B1B" w:rsidP="00601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дополнительного образования</w:t>
            </w:r>
          </w:p>
          <w:p w:rsidR="00606B1B" w:rsidRPr="005E0C8B" w:rsidRDefault="00606B1B" w:rsidP="00601F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601F97" w:rsidRPr="005E0C8B" w:rsidRDefault="00601F97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75742" w:rsidRPr="005E0C8B" w:rsidTr="003160E9">
        <w:tc>
          <w:tcPr>
            <w:tcW w:w="535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04" w:type="dxa"/>
          </w:tcPr>
          <w:p w:rsidR="00775742" w:rsidRPr="00606B1B" w:rsidRDefault="00775742" w:rsidP="00B2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1B">
              <w:rPr>
                <w:rFonts w:ascii="Times New Roman" w:hAnsi="Times New Roman" w:cs="Times New Roman"/>
                <w:sz w:val="20"/>
                <w:szCs w:val="20"/>
              </w:rPr>
              <w:t>Средний балл ЕГЭ студентов,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(средний балл единого государственного экзамена обучающихся, принятых в отчетном году на обучение по очной форме и за счет средств бюджетов Российской Федерации, без учета результатов дополнительных вступительных испытаний)</w:t>
            </w:r>
          </w:p>
        </w:tc>
        <w:tc>
          <w:tcPr>
            <w:tcW w:w="1843" w:type="dxa"/>
          </w:tcPr>
          <w:p w:rsidR="00775742" w:rsidRPr="00606B1B" w:rsidRDefault="00606B1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1B">
              <w:rPr>
                <w:rFonts w:ascii="Times New Roman" w:hAnsi="Times New Roman" w:cs="Times New Roman"/>
                <w:sz w:val="20"/>
                <w:szCs w:val="20"/>
              </w:rPr>
              <w:t>Справка ответственного секретаря приемной комиссии</w:t>
            </w:r>
          </w:p>
        </w:tc>
        <w:tc>
          <w:tcPr>
            <w:tcW w:w="1559" w:type="dxa"/>
          </w:tcPr>
          <w:p w:rsidR="00775742" w:rsidRPr="00606B1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B1B">
              <w:rPr>
                <w:rFonts w:ascii="Times New Roman" w:hAnsi="Times New Roman" w:cs="Times New Roman"/>
                <w:sz w:val="20"/>
                <w:szCs w:val="20"/>
              </w:rPr>
              <w:t>Автоматизированный</w:t>
            </w:r>
          </w:p>
        </w:tc>
        <w:tc>
          <w:tcPr>
            <w:tcW w:w="1418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Приемная комиссия</w:t>
            </w:r>
          </w:p>
        </w:tc>
        <w:tc>
          <w:tcPr>
            <w:tcW w:w="1417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Приказы о зачислении</w:t>
            </w:r>
          </w:p>
        </w:tc>
        <w:tc>
          <w:tcPr>
            <w:tcW w:w="1418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 приемной комиссии</w:t>
            </w:r>
          </w:p>
        </w:tc>
        <w:tc>
          <w:tcPr>
            <w:tcW w:w="1859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75742" w:rsidRPr="005E0C8B" w:rsidTr="003160E9">
        <w:tc>
          <w:tcPr>
            <w:tcW w:w="535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004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обучающихся, защитивших выпускную квалификационную работу в формате ВКР «Стартап как диплом» в текущем календарном году, не менее 5% от общего выпуска студентов</w:t>
            </w:r>
          </w:p>
        </w:tc>
        <w:tc>
          <w:tcPr>
            <w:tcW w:w="1843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научного руководителя /ей ВКР.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ГЭК (защиты ВКР).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Справка о внедрении.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Протокол заседания кафедры, подтверждающий коэффициент труд</w:t>
            </w:r>
            <w:r w:rsidR="007B387C" w:rsidRPr="005E0C8B">
              <w:rPr>
                <w:rFonts w:ascii="Times New Roman" w:hAnsi="Times New Roman" w:cs="Times New Roman"/>
                <w:sz w:val="20"/>
                <w:szCs w:val="20"/>
              </w:rPr>
              <w:t>ового участия (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в случае руководства несколькими преподавателями)</w:t>
            </w:r>
          </w:p>
        </w:tc>
        <w:tc>
          <w:tcPr>
            <w:tcW w:w="1559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75742" w:rsidRPr="005E0C8B" w:rsidRDefault="00775742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r w:rsidR="00606B1B">
              <w:rPr>
                <w:rFonts w:ascii="Times New Roman" w:hAnsi="Times New Roman" w:cs="Times New Roman"/>
                <w:sz w:val="20"/>
                <w:szCs w:val="20"/>
              </w:rPr>
              <w:t xml:space="preserve">едующий 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кафедрой</w:t>
            </w:r>
          </w:p>
        </w:tc>
        <w:tc>
          <w:tcPr>
            <w:tcW w:w="1417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 о назначении научного руководителя /ей ВКР.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Справка о внедрении.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5742" w:rsidRPr="005E0C8B" w:rsidRDefault="00606B1B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>УМУ</w:t>
            </w:r>
          </w:p>
        </w:tc>
        <w:tc>
          <w:tcPr>
            <w:tcW w:w="1859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75742" w:rsidRPr="005E0C8B" w:rsidTr="003160E9">
        <w:tc>
          <w:tcPr>
            <w:tcW w:w="535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004" w:type="dxa"/>
          </w:tcPr>
          <w:p w:rsidR="00775742" w:rsidRPr="005E0C8B" w:rsidRDefault="00775742" w:rsidP="00413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Доля ППС в возрасте до 39 лет</w:t>
            </w:r>
          </w:p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5742" w:rsidRPr="005E0C8B" w:rsidRDefault="00606B1B" w:rsidP="00B2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  <w:r w:rsidR="00B24834" w:rsidRPr="005E0C8B">
              <w:rPr>
                <w:rFonts w:ascii="Times New Roman" w:hAnsi="Times New Roman" w:cs="Times New Roman"/>
                <w:sz w:val="20"/>
                <w:szCs w:val="20"/>
              </w:rPr>
              <w:t>заведующего кафедрой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заверенная начальником управления кадров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75742" w:rsidRPr="005E0C8B" w:rsidRDefault="00B24834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Заведующий кафедрой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75742" w:rsidRPr="005E0C8B" w:rsidRDefault="00775742" w:rsidP="00070B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Представление заведующего с согласованием УМУ</w:t>
            </w:r>
          </w:p>
        </w:tc>
        <w:tc>
          <w:tcPr>
            <w:tcW w:w="1418" w:type="dxa"/>
          </w:tcPr>
          <w:p w:rsidR="00775742" w:rsidRPr="005E0C8B" w:rsidRDefault="00B24834" w:rsidP="00B2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Начальник у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>правлени</w:t>
            </w: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75742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кадров </w:t>
            </w:r>
          </w:p>
        </w:tc>
        <w:tc>
          <w:tcPr>
            <w:tcW w:w="1859" w:type="dxa"/>
          </w:tcPr>
          <w:p w:rsidR="00775742" w:rsidRPr="005E0C8B" w:rsidRDefault="00775742" w:rsidP="00C80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7349FB" w:rsidRPr="00606B1B" w:rsidRDefault="007349FB" w:rsidP="001F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1B">
              <w:rPr>
                <w:rFonts w:ascii="Times New Roman" w:hAnsi="Times New Roman" w:cs="Times New Roman"/>
                <w:b/>
                <w:sz w:val="24"/>
                <w:szCs w:val="24"/>
              </w:rPr>
              <w:t>2. Научно-исследовательская деятельность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Объем средств от исследований, разработок, научно-технических и/или реализации творческих проектов по договорам с организациями реального сектора экономики и за счет средств бюджета субъекта Российской Федерации и местных бюджетов на 1 НПР.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Соглашение/ договор/ контракт на выполнение НИР. 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Справка руководителя проекта о распределении  объема средств между исполнителями, заверенная  начальником ПФУ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Отдел научно-технической информации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Соглашение/ договор/ контракт на выполнение НИР или скриншот соответствующей информационной системы</w:t>
            </w:r>
          </w:p>
        </w:tc>
        <w:tc>
          <w:tcPr>
            <w:tcW w:w="1418" w:type="dxa"/>
          </w:tcPr>
          <w:p w:rsidR="007349FB" w:rsidRPr="005E0C8B" w:rsidRDefault="00606B1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Объем доходов от результатов интеллектуальной деятельности на 1 НПР.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о предоставлении права использования (отчуждения исключительного права) на изобретения, полезной модели, промышленного образца, базы данных, программы для ЭВМ. Справка о поступлении средств, заверенная  начальником ПФУ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Отдел научно-технической информации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Соглашение/ договор/ контракт на выполнение НИР или скриншот соответствующей информационной системы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Объем НИОКР, реализуемых в сфере цифровых технологий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Соглашение/ договор/ контракт на выполнение НИР 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Справка руководителя проекта о распределении объема средств между исполнителями, заверенная начальником ПФУ. Выписка НТС по отнесению НИОКР к сфере цифровых технологий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Отдел научно-технической информации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Соглашение/ договор/ контракт на выполнение НИР или скриншот соответствующей информационной системы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Объем выполненных НИР (финансовый)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Соглашение/ договор/ контракт на выполнение НИР </w:t>
            </w:r>
          </w:p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Справка руководителя проекта о распределении объема средств между исполнителями, заверенная начальником ПФУ.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кафедрой,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Отдел научно-технической информации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Соглашение/ договор/ контракт на выполнение НИР или скриншот соответствующей информационной системы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Публикационная активность (Web of Science / Scopus/ RSCI)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Полная библиографическая ссылка, сформированная  в соответствующей наукометрической базе (Web of Science / Scopus/ RSCI)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Скриншот, подтверждающий индексацию в Web of Science / Scopus/ RSCI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Визуальная сверка данными соответствующих сайтов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Издание научной монографии (аффилиация ГАГУ, ISBN, тираж 300)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Полная библиографическая ссылка, сформированная в https://elibrary.ru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Скриншот титульного листа, оборот титульного листа (лист с библ. описанием), оглавления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Визуальная сверка с данными соответствующих сайтов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Объекты интеллектуальной собственности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Свидетельство о гос. регистрации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Свидетельство о гос. регистрации или скриншот соответствующей информационной системы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научно-технической информации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данными Роспатента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Защита диссертации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Сайт ВАК РФ</w:t>
            </w:r>
          </w:p>
          <w:p w:rsidR="007349FB" w:rsidRPr="005E0C8B" w:rsidRDefault="007349FB" w:rsidP="001F59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https://vak.minobrnauki.gov.ru/dipcertevid#tab=_tab:orders~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Дипломы о присвоении ученой степени кандидата/ доктора наук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Зав. кафедрой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 о выдаче диплома/ копия диплома</w:t>
            </w:r>
          </w:p>
        </w:tc>
        <w:tc>
          <w:tcPr>
            <w:tcW w:w="1418" w:type="dxa"/>
          </w:tcPr>
          <w:p w:rsidR="007349FB" w:rsidRPr="005E0C8B" w:rsidRDefault="00606B1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49FB"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 научно-педагогических кадров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:rsidR="007349FB" w:rsidRPr="00606B1B" w:rsidRDefault="007349FB" w:rsidP="001F5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B1B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Воспитательная деятельность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9FB" w:rsidRPr="005E0C8B" w:rsidTr="003160E9">
        <w:tc>
          <w:tcPr>
            <w:tcW w:w="535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04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Руководство студенческой командой - победителем  или победителя в личном зачете  (олимпиады, турниры, конкурсы, общественные мероприятия международного, федерального, регионального уровня)</w:t>
            </w:r>
          </w:p>
        </w:tc>
        <w:tc>
          <w:tcPr>
            <w:tcW w:w="1843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Информационное письмо/положение о мероприятии.</w:t>
            </w:r>
          </w:p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 ректора о закреплении факта руководства командой, диплом победителя</w:t>
            </w:r>
          </w:p>
        </w:tc>
        <w:tc>
          <w:tcPr>
            <w:tcW w:w="15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Прямой ручной ввод значения</w:t>
            </w:r>
          </w:p>
        </w:tc>
        <w:tc>
          <w:tcPr>
            <w:tcW w:w="1418" w:type="dxa"/>
          </w:tcPr>
          <w:p w:rsidR="007349FB" w:rsidRPr="005E0C8B" w:rsidRDefault="00606B1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молодежной политики и воспитательной деятельности</w:t>
            </w:r>
          </w:p>
        </w:tc>
        <w:tc>
          <w:tcPr>
            <w:tcW w:w="141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ИС «Эффективный контракт»</w:t>
            </w:r>
          </w:p>
        </w:tc>
        <w:tc>
          <w:tcPr>
            <w:tcW w:w="1507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Приказ ректора о закреплении факта руководства командой, диплом победителя</w:t>
            </w:r>
          </w:p>
        </w:tc>
        <w:tc>
          <w:tcPr>
            <w:tcW w:w="1418" w:type="dxa"/>
          </w:tcPr>
          <w:p w:rsidR="007349FB" w:rsidRPr="005E0C8B" w:rsidRDefault="007349FB" w:rsidP="00606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06B1B">
              <w:rPr>
                <w:rFonts w:ascii="Times New Roman" w:hAnsi="Times New Roman" w:cs="Times New Roman"/>
                <w:sz w:val="20"/>
                <w:szCs w:val="20"/>
              </w:rPr>
              <w:t>Управления молодежной политики и воспитательной деятельности</w:t>
            </w:r>
          </w:p>
        </w:tc>
        <w:tc>
          <w:tcPr>
            <w:tcW w:w="1859" w:type="dxa"/>
          </w:tcPr>
          <w:p w:rsidR="007349FB" w:rsidRPr="005E0C8B" w:rsidRDefault="007349FB" w:rsidP="001F5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C8B">
              <w:rPr>
                <w:rFonts w:ascii="Times New Roman" w:hAnsi="Times New Roman" w:cs="Times New Roman"/>
                <w:sz w:val="20"/>
                <w:szCs w:val="20"/>
              </w:rPr>
              <w:t>Ручная (визуальная) сверка с документами</w:t>
            </w:r>
          </w:p>
        </w:tc>
      </w:tr>
    </w:tbl>
    <w:p w:rsidR="00855C37" w:rsidRPr="005E0C8B" w:rsidRDefault="00855C37" w:rsidP="00855C3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855C37" w:rsidRPr="005E0C8B" w:rsidSect="00B27F33">
      <w:footerReference w:type="default" r:id="rId8"/>
      <w:pgSz w:w="16838" w:h="11906" w:orient="landscape"/>
      <w:pgMar w:top="1135" w:right="96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51" w:rsidRDefault="00F35251" w:rsidP="00606B1B">
      <w:pPr>
        <w:spacing w:after="0" w:line="240" w:lineRule="auto"/>
      </w:pPr>
      <w:r>
        <w:separator/>
      </w:r>
    </w:p>
  </w:endnote>
  <w:endnote w:type="continuationSeparator" w:id="0">
    <w:p w:rsidR="00F35251" w:rsidRDefault="00F35251" w:rsidP="0060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1118345"/>
      <w:docPartObj>
        <w:docPartGallery w:val="Page Numbers (Bottom of Page)"/>
        <w:docPartUnique/>
      </w:docPartObj>
    </w:sdtPr>
    <w:sdtEndPr/>
    <w:sdtContent>
      <w:p w:rsidR="00606B1B" w:rsidRDefault="00606B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251">
          <w:rPr>
            <w:noProof/>
          </w:rPr>
          <w:t>1</w:t>
        </w:r>
        <w:r>
          <w:fldChar w:fldCharType="end"/>
        </w:r>
      </w:p>
    </w:sdtContent>
  </w:sdt>
  <w:p w:rsidR="00606B1B" w:rsidRDefault="00606B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51" w:rsidRDefault="00F35251" w:rsidP="00606B1B">
      <w:pPr>
        <w:spacing w:after="0" w:line="240" w:lineRule="auto"/>
      </w:pPr>
      <w:r>
        <w:separator/>
      </w:r>
    </w:p>
  </w:footnote>
  <w:footnote w:type="continuationSeparator" w:id="0">
    <w:p w:rsidR="00F35251" w:rsidRDefault="00F35251" w:rsidP="0060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1B"/>
    <w:multiLevelType w:val="hybridMultilevel"/>
    <w:tmpl w:val="D4601ACA"/>
    <w:lvl w:ilvl="0" w:tplc="91BC68CC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B498D"/>
    <w:multiLevelType w:val="hybridMultilevel"/>
    <w:tmpl w:val="3B0A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AED"/>
    <w:rsid w:val="00000E4F"/>
    <w:rsid w:val="000109F7"/>
    <w:rsid w:val="000476F4"/>
    <w:rsid w:val="00070BEF"/>
    <w:rsid w:val="00094433"/>
    <w:rsid w:val="000F5E17"/>
    <w:rsid w:val="00136012"/>
    <w:rsid w:val="00187969"/>
    <w:rsid w:val="00224B07"/>
    <w:rsid w:val="00237EE2"/>
    <w:rsid w:val="00275528"/>
    <w:rsid w:val="002D72B7"/>
    <w:rsid w:val="002F5CD9"/>
    <w:rsid w:val="003160E9"/>
    <w:rsid w:val="00383964"/>
    <w:rsid w:val="00397E6F"/>
    <w:rsid w:val="003D475A"/>
    <w:rsid w:val="003F4CFE"/>
    <w:rsid w:val="00403F5C"/>
    <w:rsid w:val="00413E48"/>
    <w:rsid w:val="00426AED"/>
    <w:rsid w:val="00462DB7"/>
    <w:rsid w:val="004C175D"/>
    <w:rsid w:val="00515A42"/>
    <w:rsid w:val="00573A04"/>
    <w:rsid w:val="00586A3D"/>
    <w:rsid w:val="005C1C78"/>
    <w:rsid w:val="005E0C8B"/>
    <w:rsid w:val="00601F97"/>
    <w:rsid w:val="00606B1B"/>
    <w:rsid w:val="0066116D"/>
    <w:rsid w:val="00676402"/>
    <w:rsid w:val="00696D77"/>
    <w:rsid w:val="006A649C"/>
    <w:rsid w:val="006D37B7"/>
    <w:rsid w:val="00710C84"/>
    <w:rsid w:val="007126BF"/>
    <w:rsid w:val="007349FB"/>
    <w:rsid w:val="00775742"/>
    <w:rsid w:val="007B079B"/>
    <w:rsid w:val="007B387C"/>
    <w:rsid w:val="007B76C1"/>
    <w:rsid w:val="00803782"/>
    <w:rsid w:val="008518C1"/>
    <w:rsid w:val="00855C37"/>
    <w:rsid w:val="008B37AA"/>
    <w:rsid w:val="009A2BFA"/>
    <w:rsid w:val="009D6B9C"/>
    <w:rsid w:val="009D7702"/>
    <w:rsid w:val="00A15B7F"/>
    <w:rsid w:val="00A90519"/>
    <w:rsid w:val="00A92FA4"/>
    <w:rsid w:val="00AC041D"/>
    <w:rsid w:val="00B014F5"/>
    <w:rsid w:val="00B24834"/>
    <w:rsid w:val="00B27F33"/>
    <w:rsid w:val="00BA7D3B"/>
    <w:rsid w:val="00BC1A86"/>
    <w:rsid w:val="00BD3C2A"/>
    <w:rsid w:val="00BF1A9D"/>
    <w:rsid w:val="00BF40B6"/>
    <w:rsid w:val="00CA611C"/>
    <w:rsid w:val="00CB41BF"/>
    <w:rsid w:val="00CB72FB"/>
    <w:rsid w:val="00CD14C9"/>
    <w:rsid w:val="00CF7844"/>
    <w:rsid w:val="00D21406"/>
    <w:rsid w:val="00D30A92"/>
    <w:rsid w:val="00D3757B"/>
    <w:rsid w:val="00D43C28"/>
    <w:rsid w:val="00D637AB"/>
    <w:rsid w:val="00DA60EA"/>
    <w:rsid w:val="00EA4179"/>
    <w:rsid w:val="00F036D9"/>
    <w:rsid w:val="00F35251"/>
    <w:rsid w:val="00F567B4"/>
    <w:rsid w:val="00FB7FDC"/>
    <w:rsid w:val="00FE16AD"/>
    <w:rsid w:val="00FE36B4"/>
    <w:rsid w:val="00FE6828"/>
    <w:rsid w:val="00FF0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6E68C-57C8-478E-92DE-96B1CE7E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9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C8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B1B"/>
  </w:style>
  <w:style w:type="paragraph" w:styleId="a8">
    <w:name w:val="footer"/>
    <w:basedOn w:val="a"/>
    <w:link w:val="a9"/>
    <w:uiPriority w:val="99"/>
    <w:unhideWhenUsed/>
    <w:rsid w:val="0060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B1B"/>
  </w:style>
  <w:style w:type="paragraph" w:styleId="aa">
    <w:name w:val="Balloon Text"/>
    <w:basedOn w:val="a"/>
    <w:link w:val="ab"/>
    <w:uiPriority w:val="99"/>
    <w:semiHidden/>
    <w:unhideWhenUsed/>
    <w:rsid w:val="00CF7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 Т. К.</dc:creator>
  <cp:lastModifiedBy>user</cp:lastModifiedBy>
  <cp:revision>14</cp:revision>
  <cp:lastPrinted>2024-06-04T02:38:00Z</cp:lastPrinted>
  <dcterms:created xsi:type="dcterms:W3CDTF">2024-05-22T09:10:00Z</dcterms:created>
  <dcterms:modified xsi:type="dcterms:W3CDTF">2024-06-11T01:21:00Z</dcterms:modified>
</cp:coreProperties>
</file>