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Look w:val="01E0" w:firstRow="1" w:lastRow="1" w:firstColumn="1" w:lastColumn="1" w:noHBand="0" w:noVBand="0"/>
      </w:tblPr>
      <w:tblGrid>
        <w:gridCol w:w="5211"/>
        <w:gridCol w:w="4710"/>
      </w:tblGrid>
      <w:tr w:rsidR="008F1BF9" w:rsidRPr="008A1F12" w:rsidTr="005F0300">
        <w:tc>
          <w:tcPr>
            <w:tcW w:w="5211" w:type="dxa"/>
            <w:shd w:val="clear" w:color="auto" w:fill="auto"/>
          </w:tcPr>
          <w:p w:rsidR="008F1BF9" w:rsidRPr="008A1F12" w:rsidRDefault="008F1BF9" w:rsidP="005F03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2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8F1BF9" w:rsidRPr="008A1F12" w:rsidRDefault="008F1BF9" w:rsidP="005F0300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8F1BF9" w:rsidRPr="008A1F12" w:rsidRDefault="008F1BF9" w:rsidP="005F0300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12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8F1BF9" w:rsidRPr="008A1F12" w:rsidRDefault="008F1BF9" w:rsidP="005F0300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12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8F1BF9" w:rsidRPr="008A1F12" w:rsidRDefault="008F1BF9" w:rsidP="005F0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1F12">
              <w:rPr>
                <w:b/>
              </w:rPr>
              <w:t>(ФГБОУ ВО  ГАГУ, ГАГУ, Горно-Алтайский государственный университет)</w:t>
            </w:r>
          </w:p>
          <w:p w:rsidR="008F1BF9" w:rsidRPr="008A1F12" w:rsidRDefault="008F1BF9" w:rsidP="005F0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F1BF9" w:rsidRPr="008A1F12" w:rsidRDefault="008F1BF9" w:rsidP="005F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12">
              <w:rPr>
                <w:sz w:val="28"/>
                <w:szCs w:val="28"/>
              </w:rPr>
              <w:t>РЕГЛАМЕНТ</w:t>
            </w:r>
          </w:p>
          <w:p w:rsidR="008F1BF9" w:rsidRPr="008A1F12" w:rsidRDefault="00A944D7" w:rsidP="005F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29.09.2022</w:t>
            </w:r>
            <w:r w:rsidR="008F1BF9" w:rsidRPr="008A1F1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01-05-66</w:t>
            </w:r>
          </w:p>
          <w:p w:rsidR="008F1BF9" w:rsidRPr="008A1F12" w:rsidRDefault="008F1BF9" w:rsidP="005F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8F1BF9" w:rsidRPr="008A1F12" w:rsidRDefault="008F1BF9" w:rsidP="005F0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F12">
              <w:rPr>
                <w:b/>
                <w:sz w:val="28"/>
                <w:szCs w:val="28"/>
              </w:rPr>
              <w:t>работы экспертной комиссии Горно-Алтайского государственного университета</w:t>
            </w:r>
          </w:p>
          <w:p w:rsidR="008F1BF9" w:rsidRPr="008A1F12" w:rsidRDefault="008F1BF9" w:rsidP="005F03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0" w:type="dxa"/>
            <w:shd w:val="clear" w:color="auto" w:fill="auto"/>
          </w:tcPr>
          <w:p w:rsidR="008F1BF9" w:rsidRPr="008A1F12" w:rsidRDefault="008F1BF9" w:rsidP="005F0300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8A1F12">
              <w:rPr>
                <w:sz w:val="28"/>
                <w:szCs w:val="28"/>
              </w:rPr>
              <w:t>УТВЕРЖДЕН</w:t>
            </w:r>
          </w:p>
          <w:p w:rsidR="008F1BF9" w:rsidRPr="008A1F12" w:rsidRDefault="008F1BF9" w:rsidP="005F0300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8A1F12">
              <w:rPr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8F1BF9" w:rsidRPr="008A1F12" w:rsidRDefault="008F1BF9" w:rsidP="005F0300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8A1F12">
              <w:rPr>
                <w:sz w:val="28"/>
                <w:szCs w:val="28"/>
              </w:rPr>
              <w:t xml:space="preserve">от </w:t>
            </w:r>
            <w:r w:rsidR="00A944D7">
              <w:rPr>
                <w:sz w:val="28"/>
                <w:szCs w:val="28"/>
              </w:rPr>
              <w:t xml:space="preserve">29.09.2022 </w:t>
            </w:r>
            <w:r w:rsidRPr="008A1F12">
              <w:rPr>
                <w:sz w:val="28"/>
                <w:szCs w:val="28"/>
              </w:rPr>
              <w:t xml:space="preserve">№ </w:t>
            </w:r>
            <w:r w:rsidR="00A944D7">
              <w:rPr>
                <w:sz w:val="28"/>
                <w:szCs w:val="28"/>
              </w:rPr>
              <w:t>9</w:t>
            </w:r>
          </w:p>
          <w:p w:rsidR="008F1BF9" w:rsidRPr="008A1F12" w:rsidRDefault="008F1BF9" w:rsidP="005F0300">
            <w:pPr>
              <w:widowControl w:val="0"/>
              <w:autoSpaceDE w:val="0"/>
              <w:autoSpaceDN w:val="0"/>
              <w:adjustRightInd w:val="0"/>
            </w:pPr>
          </w:p>
          <w:p w:rsidR="008F1BF9" w:rsidRPr="008A1F12" w:rsidRDefault="008F1BF9" w:rsidP="005F0300">
            <w:pPr>
              <w:widowControl w:val="0"/>
              <w:autoSpaceDE w:val="0"/>
              <w:autoSpaceDN w:val="0"/>
              <w:adjustRightInd w:val="0"/>
              <w:ind w:left="72" w:firstLine="540"/>
            </w:pPr>
          </w:p>
        </w:tc>
      </w:tr>
    </w:tbl>
    <w:p w:rsidR="008F1BF9" w:rsidRPr="008A1F12" w:rsidRDefault="008F1BF9" w:rsidP="008F1BF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F1BF9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1.1 Экспертная комиссия (далее – Комиссия) федерального государственного бюджетного образовательного учреждения «Горно-Алтайский государственный университет» (далее – Университет) осуществляет свою деятельность на основании Положения об экспертной комиссии Горно-Алтайского государственного университета, утвержденного решением Ученого Совета Университета.</w:t>
      </w:r>
    </w:p>
    <w:p w:rsidR="008F1BF9" w:rsidRPr="008A1F12" w:rsidRDefault="008F1BF9" w:rsidP="008F1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BF9" w:rsidRPr="008A1F12" w:rsidRDefault="008F1BF9" w:rsidP="008F1BF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b/>
          <w:sz w:val="28"/>
          <w:szCs w:val="28"/>
          <w:lang w:eastAsia="ru-RU"/>
        </w:rPr>
        <w:t>2. Планирование работы</w:t>
      </w:r>
    </w:p>
    <w:p w:rsidR="008F1BF9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2.1. Деятельность Комиссии осуществляется в соответствии с планом работы на календарный год.</w:t>
      </w:r>
    </w:p>
    <w:p w:rsidR="008F1BF9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2.2. План работы разрабатывается секретарем Комиссии, исходя из задач, стоящих перед отделом делопроизводства и архивом Университета, и перспективных планов работы отдела делопроизводства и архива Университета, с учетом предложений структурных подразделений.</w:t>
      </w:r>
    </w:p>
    <w:p w:rsidR="008F1BF9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2.3. Проект плана работы Комиссии на текущий год рассматривается на первом в году заседании Комиссии и утверждается руководителем.</w:t>
      </w:r>
    </w:p>
    <w:p w:rsidR="008F1BF9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2.4. При необходимости план работы Комиссии может быть скорректирован.</w:t>
      </w:r>
    </w:p>
    <w:p w:rsidR="008F1BF9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BF9" w:rsidRPr="008A1F12" w:rsidRDefault="008F1BF9" w:rsidP="008F1BF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b/>
          <w:sz w:val="28"/>
          <w:szCs w:val="28"/>
          <w:lang w:eastAsia="ru-RU"/>
        </w:rPr>
        <w:t>3. Подготовка заседаний и порядок работы комиссии</w:t>
      </w:r>
    </w:p>
    <w:p w:rsidR="008F1BF9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3.1. Заседания Комиссии проводятся в соответствии с планом работы</w:t>
      </w:r>
      <w:r w:rsidR="00341779" w:rsidRPr="008A1F12">
        <w:rPr>
          <w:rFonts w:ascii="Times New Roman" w:hAnsi="Times New Roman" w:cs="Times New Roman"/>
          <w:sz w:val="28"/>
          <w:szCs w:val="28"/>
          <w:lang w:eastAsia="ru-RU"/>
        </w:rPr>
        <w:t>, но не реже 1 раза в год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. Для оперативного решения вопросов могут проводиться внеплановые заседания Комиссии.</w:t>
      </w:r>
    </w:p>
    <w:p w:rsidR="008F1BF9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3.2. Заседания Комиссии проводит председатель, а в его отсутствие – лицо, его замещающее. Освобождение членов Комиссии от участия в заседании допускается с разрешения председателя (или лица, его замещающего).</w:t>
      </w:r>
    </w:p>
    <w:p w:rsidR="008F1BF9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3.3. Повестка заседания Комиссии формируется секретарем Комиссии на основании плана работы.</w:t>
      </w:r>
    </w:p>
    <w:p w:rsidR="00334DB4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3.4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вопросов, материалов для рассмотрения Комиссией</w:t>
      </w:r>
      <w:r w:rsidR="009B1D08" w:rsidRPr="008A1F1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D08"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указанных в плане работы Комиссии, 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B85E07" w:rsidRPr="008A1F12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архива</w:t>
      </w:r>
      <w:r w:rsidR="00B85E07"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и отдела делопроизводства</w:t>
      </w:r>
      <w:r w:rsidR="009B1D08"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со структурными подразделениями (при необходимости)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DB4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1F12">
        <w:rPr>
          <w:rFonts w:ascii="Times New Roman" w:hAnsi="Times New Roman" w:cs="Times New Roman"/>
          <w:sz w:val="28"/>
          <w:szCs w:val="28"/>
          <w:lang w:eastAsia="ru-RU"/>
        </w:rPr>
        <w:t>3.4.1 Поступающие на рассмотрение Комиссии документы должны быть оформлены в соответствии с требованиями ГОСТов,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Федерального архивного агентства от 02.03.2020 № 24, и других Федеральных и региональных законодательных и нормативных актов в области делопроизводства</w:t>
      </w:r>
      <w:proofErr w:type="gramEnd"/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и архивного дела.</w:t>
      </w:r>
    </w:p>
    <w:p w:rsidR="00334DB4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основных документов, представляемых на рассмотрение </w:t>
      </w:r>
      <w:r w:rsidR="00B85E07" w:rsidRPr="008A1F1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омиссии, приводится в Приложении № 1.</w:t>
      </w:r>
    </w:p>
    <w:p w:rsidR="00334DB4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за подготовку материалов несут руководители соответствующих структурных подразделений, которые представляют все материалы по рассматриваемым вопросам секретарю </w:t>
      </w:r>
      <w:r w:rsidR="00E0318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омиссии за 10 рабочих дней до заседания в отпечатанном или электронном виде вместе.</w:t>
      </w:r>
    </w:p>
    <w:p w:rsidR="00334DB4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Вопросы, по которым соответствующие материалы не были представлены в указанный срок, могут быть включены в повестку дня только с разрешения председателя Комиссии.</w:t>
      </w:r>
    </w:p>
    <w:p w:rsidR="00334DB4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В тех случаях, когда на рассмотрение Комиссии выносится вопрос, не предусмотренный планом, срок представления материала определяется председателем Комиссии.</w:t>
      </w:r>
    </w:p>
    <w:p w:rsidR="00334DB4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Секретарь Комиссии знакомит членов </w:t>
      </w:r>
      <w:r w:rsidR="009B1D08" w:rsidRPr="008A1F1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омиссии с представленными материалами и повесткой заседания Комиссии не позднее, чем за 7 рабочих дней до заседания.</w:t>
      </w:r>
    </w:p>
    <w:p w:rsidR="00334DB4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Секретарь Комиссии обеспечивает явку членов Комиссии на заседание. В работе Комиссии участвуют специалисты, подготовившие материалы на рассмотрение </w:t>
      </w:r>
      <w:r w:rsidR="009B1D08" w:rsidRPr="008A1F1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омиссии.</w:t>
      </w:r>
    </w:p>
    <w:p w:rsidR="00334DB4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правомочна принимать решения, если на заседании присутствует не менее половины ее состава. Решение принимается большинством голосов членов Комиссии, присутствующих на заседании. При разделении голосов поровну спорные вопросы разрешаются 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руководителем Университета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. Особое мнение членов Комиссии и приглашенных отражается в протоколе и оперативно доводится до сведения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руководителя Университета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DB4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принимается по каждому вопросу отдельно.</w:t>
      </w:r>
    </w:p>
    <w:p w:rsidR="00334DB4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Право решающего голоса имеют только члены Комиссии. Приглашенные консультанты и эксперты имеют право совещательного голоса.</w:t>
      </w:r>
    </w:p>
    <w:p w:rsidR="00334DB4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0.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Материалы, подготовленные для рассмотрения, рецензируются всеми членами Комиссии. При необходимости оперативного рассмотрения материала на заседании Комиссии председателем назначается не менее двух членов Комиссии для рецензирования материала.</w:t>
      </w:r>
    </w:p>
    <w:p w:rsidR="00DC1B7E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Члены Комиссии рассматривают материалы и докладывают о своем решении на заседании Комиссии. </w:t>
      </w:r>
      <w:proofErr w:type="gramStart"/>
      <w:r w:rsidRPr="008A1F12">
        <w:rPr>
          <w:rFonts w:ascii="Times New Roman" w:hAnsi="Times New Roman" w:cs="Times New Roman"/>
          <w:sz w:val="28"/>
          <w:szCs w:val="28"/>
          <w:lang w:eastAsia="ru-RU"/>
        </w:rPr>
        <w:t>В случае наличия замечаний (нарушение требований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Федерального архивного агентства от 02.03.2020 № 24, и других Федеральных и региональных законодательных и нормативных актов в области делопроизводства и архивного дела, нормативно-методической литературы, правил и норм</w:t>
      </w:r>
      <w:proofErr w:type="gramEnd"/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языка, требований к оформлению материалов, фактических ошибок) члены Комиссии прилагают развернутое и аргументированное заключение со ссылкой на нормативно-методические документы. Члены Комиссии могут также высказывать рекомендации (по стилю изложения, схеме систематизации документов в описи и др.).</w:t>
      </w:r>
    </w:p>
    <w:p w:rsidR="005F0300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="005F0300" w:rsidRPr="008A1F1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Материалы, согласованные Комиссией и доработанные в соответствии с указанными замечаниями и высказанными рекомендациями, представляются секретарю Комиссии в окончательном варианте не позднее указанного в решении срока. Выполнение замечаний контролируется секретарем</w:t>
      </w:r>
      <w:r w:rsidR="009B1D08"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, который в рабочем порядке знакомит членов Комиссии с доработанными материалами.</w:t>
      </w:r>
    </w:p>
    <w:p w:rsidR="005F0300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В случае непредставления доработанных материалов в указанный срок, секретарь Комиссии информирует об этом председателя Комиссии.</w:t>
      </w:r>
    </w:p>
    <w:p w:rsidR="00AE1BC1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="005F0300" w:rsidRPr="008A1F12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Протоколы заседаний Комиссии ведет секретарь Комиссии. Особые мнения членов Комиссии и приглашенных отражаются в протоколе.</w:t>
      </w:r>
      <w:r w:rsidR="005F0300"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Решения, принятые между заседаниями (в рабочем порядке), включаются в протокол очередного заседания Комиссии с указанием даты принятия.</w:t>
      </w:r>
      <w:r w:rsidR="00AE1BC1"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E1BC1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="00AE1BC1" w:rsidRPr="008A1F12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Комиссии оформляются выпиской из протокола, доводятся секретарем до сведения исполнителей и руководителей структурных подразделений не позднее, чем через три дня после утверждения протокола.</w:t>
      </w:r>
    </w:p>
    <w:p w:rsidR="00AE1BC1" w:rsidRPr="008A1F12" w:rsidRDefault="008F1BF9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="00AE1BC1" w:rsidRPr="008A1F12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 заседания Комиссии оформляется секретарем Комиссии в десятидневный срок после заседания, подписывается председателем и секретарем Комиссии. Протокол представляется на утверждение </w:t>
      </w:r>
      <w:r w:rsidR="00AE1BC1" w:rsidRPr="008A1F12">
        <w:rPr>
          <w:rFonts w:ascii="Times New Roman" w:hAnsi="Times New Roman" w:cs="Times New Roman"/>
          <w:sz w:val="28"/>
          <w:szCs w:val="28"/>
          <w:lang w:eastAsia="ru-RU"/>
        </w:rPr>
        <w:t>руководителю Университета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со всеми доработанными приложениями.</w:t>
      </w:r>
    </w:p>
    <w:p w:rsidR="009C4C20" w:rsidRPr="008A1F12" w:rsidRDefault="009C4C20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</w:rPr>
        <w:t xml:space="preserve">3.16. Секретарь комиссии занимается делопроизводством </w:t>
      </w:r>
      <w:proofErr w:type="gramStart"/>
      <w:r w:rsidRPr="008A1F12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A1F12">
        <w:rPr>
          <w:rFonts w:ascii="Times New Roman" w:hAnsi="Times New Roman" w:cs="Times New Roman"/>
          <w:sz w:val="28"/>
          <w:szCs w:val="28"/>
        </w:rPr>
        <w:t>, хранением и использованием ее документов, несет ответственность за их сохранность.</w:t>
      </w:r>
    </w:p>
    <w:p w:rsidR="00AE1BC1" w:rsidRPr="008A1F12" w:rsidRDefault="00AE1BC1" w:rsidP="008F1B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BC1" w:rsidRPr="008A1F12" w:rsidRDefault="008F1BF9" w:rsidP="00AE1B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 w:rsidR="00AE1BC1" w:rsidRPr="008A1F12">
        <w:rPr>
          <w:rFonts w:ascii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AE1BC1" w:rsidRPr="008A1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исполнением решений Комиссии</w:t>
      </w:r>
    </w:p>
    <w:p w:rsidR="00A138E8" w:rsidRPr="008A1F12" w:rsidRDefault="008F1BF9" w:rsidP="00AE1B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A138E8" w:rsidRPr="008A1F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F1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принятых решений осуществляет секретарь Комиссии. Снятие с контроля решений Комиссии осуществляется председателем Комиссии.</w:t>
      </w:r>
    </w:p>
    <w:p w:rsidR="008F1BF9" w:rsidRPr="008A1F12" w:rsidRDefault="008F1BF9" w:rsidP="00A138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4.2 Вопрос о продлении срока исполнения решения Комиссии рассматривается на основании служебной записки руководителя 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структурного подразделения на имя </w:t>
      </w:r>
      <w:r w:rsidR="00A138E8" w:rsidRPr="008A1F12">
        <w:rPr>
          <w:rFonts w:ascii="Times New Roman" w:hAnsi="Times New Roman" w:cs="Times New Roman"/>
          <w:sz w:val="28"/>
          <w:szCs w:val="28"/>
          <w:lang w:eastAsia="ru-RU"/>
        </w:rPr>
        <w:t>руководителя Университета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 и председателя Комиссии.</w:t>
      </w:r>
    </w:p>
    <w:p w:rsidR="00334DB4" w:rsidRPr="008A1F12" w:rsidRDefault="00334DB4">
      <w:pPr>
        <w:spacing w:after="200"/>
        <w:rPr>
          <w:rFonts w:eastAsiaTheme="minorHAnsi"/>
          <w:sz w:val="28"/>
          <w:szCs w:val="28"/>
        </w:rPr>
      </w:pPr>
      <w:r w:rsidRPr="008A1F12">
        <w:rPr>
          <w:sz w:val="28"/>
          <w:szCs w:val="28"/>
        </w:rPr>
        <w:br w:type="page"/>
      </w:r>
    </w:p>
    <w:p w:rsidR="00334DB4" w:rsidRPr="008A1F12" w:rsidRDefault="008F1BF9" w:rsidP="00334DB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B1D08" w:rsidRPr="008A1F12" w:rsidRDefault="008F1BF9" w:rsidP="009B1D0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A1F12">
        <w:rPr>
          <w:sz w:val="28"/>
          <w:szCs w:val="28"/>
        </w:rPr>
        <w:t xml:space="preserve">к Регламенту </w:t>
      </w:r>
      <w:r w:rsidR="009B1D08" w:rsidRPr="008A1F12">
        <w:rPr>
          <w:sz w:val="28"/>
          <w:szCs w:val="28"/>
        </w:rPr>
        <w:t>работы экспертной комиссии</w:t>
      </w:r>
    </w:p>
    <w:p w:rsidR="009B1D08" w:rsidRPr="008A1F12" w:rsidRDefault="009B1D08" w:rsidP="009B1D0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A1F12">
        <w:rPr>
          <w:sz w:val="28"/>
          <w:szCs w:val="28"/>
        </w:rPr>
        <w:t>Горно-Алтайского государственного университета</w:t>
      </w:r>
    </w:p>
    <w:p w:rsidR="008F1BF9" w:rsidRPr="008A1F12" w:rsidRDefault="008F1BF9" w:rsidP="009B1D08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4DB4" w:rsidRPr="008A1F12" w:rsidRDefault="00334DB4" w:rsidP="008F1BF9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34DB4" w:rsidRPr="008A1F12" w:rsidRDefault="008F1BF9" w:rsidP="00334DB4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kern w:val="36"/>
          <w:sz w:val="28"/>
          <w:szCs w:val="28"/>
          <w:lang w:eastAsia="ru-RU"/>
        </w:rPr>
        <w:t>ПЕРЕЧЕНЬ</w:t>
      </w:r>
    </w:p>
    <w:p w:rsidR="008F1BF9" w:rsidRPr="008A1F12" w:rsidRDefault="008F1BF9" w:rsidP="00334DB4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основных документов, представляемых на рассмотрение </w:t>
      </w:r>
      <w:proofErr w:type="gramStart"/>
      <w:r w:rsidR="00334DB4" w:rsidRPr="008A1F12">
        <w:rPr>
          <w:rFonts w:ascii="Times New Roman" w:hAnsi="Times New Roman" w:cs="Times New Roman"/>
          <w:kern w:val="36"/>
          <w:sz w:val="28"/>
          <w:szCs w:val="28"/>
          <w:lang w:eastAsia="ru-RU"/>
        </w:rPr>
        <w:t>ЭК</w:t>
      </w:r>
      <w:proofErr w:type="gramEnd"/>
    </w:p>
    <w:p w:rsidR="00334DB4" w:rsidRPr="008A1F12" w:rsidRDefault="00334DB4" w:rsidP="00334DB4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34DB4" w:rsidRPr="008A1F12" w:rsidRDefault="008F1BF9" w:rsidP="008F1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1. Описи дел (документов), составленные в архиве в результате описания документов;</w:t>
      </w:r>
    </w:p>
    <w:p w:rsidR="00334DB4" w:rsidRPr="008A1F12" w:rsidRDefault="008F1BF9" w:rsidP="008F1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2. Описи дел (документов), составленные в архиве в результате их усовершенствования и переработки;</w:t>
      </w:r>
    </w:p>
    <w:p w:rsidR="00334DB4" w:rsidRPr="008A1F12" w:rsidRDefault="008F1BF9" w:rsidP="008F1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3. Описи дел постоянного хранения управленческой и иных видов документации, образованной в деятельности 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Университета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4DB4" w:rsidRPr="008A1F12" w:rsidRDefault="008F1BF9" w:rsidP="008F1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4. Описи дел по личному составу, образованных в деятельности 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Университета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4DB4" w:rsidRPr="008A1F12" w:rsidRDefault="008F1BF9" w:rsidP="008F1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5. Номенклатура дел </w:t>
      </w:r>
      <w:r w:rsidR="00334DB4" w:rsidRPr="008A1F12">
        <w:rPr>
          <w:rFonts w:ascii="Times New Roman" w:hAnsi="Times New Roman" w:cs="Times New Roman"/>
          <w:sz w:val="28"/>
          <w:szCs w:val="28"/>
          <w:lang w:eastAsia="ru-RU"/>
        </w:rPr>
        <w:t>Университета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4DB4" w:rsidRPr="008A1F12" w:rsidRDefault="008F1BF9" w:rsidP="008F1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8. Акты о выделении к уничтожению документов, не подлежащих хранению (долговременного хранения, в том числе документов по личному составу), составленные по результатам экспертизы ценности документов, сроки временного хранения которых истекли;</w:t>
      </w:r>
    </w:p>
    <w:p w:rsidR="008A1F12" w:rsidRPr="008A1F12" w:rsidRDefault="008A1F12" w:rsidP="008F1B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8A1F12">
        <w:rPr>
          <w:rFonts w:ascii="Times New Roman" w:hAnsi="Times New Roman" w:cs="Times New Roman"/>
          <w:sz w:val="28"/>
          <w:szCs w:val="28"/>
        </w:rPr>
        <w:t>Описи дел временных (свыше 10 лет) сроков хранения;</w:t>
      </w:r>
    </w:p>
    <w:p w:rsidR="008A1F12" w:rsidRPr="008A1F12" w:rsidRDefault="008A1F12" w:rsidP="008F1B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F12">
        <w:rPr>
          <w:rFonts w:ascii="Times New Roman" w:hAnsi="Times New Roman" w:cs="Times New Roman"/>
          <w:sz w:val="28"/>
          <w:szCs w:val="28"/>
        </w:rPr>
        <w:t>10. Акты об утрате документов;</w:t>
      </w:r>
    </w:p>
    <w:p w:rsidR="008A1F12" w:rsidRPr="008A1F12" w:rsidRDefault="008A1F12" w:rsidP="008F1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</w:rPr>
        <w:t>11. Акты о неисправимом повреждении архивных документов;</w:t>
      </w:r>
    </w:p>
    <w:p w:rsidR="008A1F12" w:rsidRPr="008A1F12" w:rsidRDefault="008A1F12" w:rsidP="008A1F1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8F1BF9" w:rsidRPr="008A1F12">
        <w:rPr>
          <w:rFonts w:ascii="Times New Roman" w:hAnsi="Times New Roman" w:cs="Times New Roman"/>
          <w:sz w:val="28"/>
          <w:szCs w:val="28"/>
          <w:lang w:eastAsia="ru-RU"/>
        </w:rPr>
        <w:t>. Проекты локальных нормативных актов и методических документов организации по делопроизводству и архивному делу</w:t>
      </w:r>
      <w:r w:rsidRPr="008A1F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4C20" w:rsidRPr="008A1F12" w:rsidRDefault="008A1F12" w:rsidP="008A1F1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F12">
        <w:rPr>
          <w:rFonts w:ascii="Times New Roman" w:hAnsi="Times New Roman" w:cs="Times New Roman"/>
          <w:sz w:val="28"/>
          <w:szCs w:val="28"/>
        </w:rPr>
        <w:t>13.</w:t>
      </w:r>
      <w:r w:rsidR="009C4C20" w:rsidRPr="008A1F12">
        <w:rPr>
          <w:rFonts w:ascii="Times New Roman" w:hAnsi="Times New Roman" w:cs="Times New Roman"/>
          <w:sz w:val="28"/>
          <w:szCs w:val="28"/>
        </w:rPr>
        <w:t xml:space="preserve"> </w:t>
      </w:r>
      <w:r w:rsidRPr="008A1F12">
        <w:rPr>
          <w:rFonts w:ascii="Times New Roman" w:hAnsi="Times New Roman" w:cs="Times New Roman"/>
          <w:sz w:val="28"/>
          <w:szCs w:val="28"/>
        </w:rPr>
        <w:t>П</w:t>
      </w:r>
      <w:r w:rsidR="009C4C20" w:rsidRPr="008A1F12">
        <w:rPr>
          <w:rFonts w:ascii="Times New Roman" w:hAnsi="Times New Roman" w:cs="Times New Roman"/>
          <w:sz w:val="28"/>
          <w:szCs w:val="28"/>
        </w:rPr>
        <w:t>редложени</w:t>
      </w:r>
      <w:r w:rsidRPr="008A1F12">
        <w:rPr>
          <w:rFonts w:ascii="Times New Roman" w:hAnsi="Times New Roman" w:cs="Times New Roman"/>
          <w:sz w:val="28"/>
          <w:szCs w:val="28"/>
        </w:rPr>
        <w:t>я</w:t>
      </w:r>
      <w:r w:rsidR="009C4C20" w:rsidRPr="008A1F12">
        <w:rPr>
          <w:rFonts w:ascii="Times New Roman" w:hAnsi="Times New Roman" w:cs="Times New Roman"/>
          <w:sz w:val="28"/>
          <w:szCs w:val="28"/>
        </w:rPr>
        <w:t xml:space="preserve"> об установлении (изменении) сроков хранения документов, не предусмотренных (предусмотренных) перечнями типовых архивных документов с последующим представлением их на согласование ЭПК</w:t>
      </w:r>
      <w:r w:rsidRPr="008A1F12">
        <w:rPr>
          <w:rFonts w:ascii="Times New Roman" w:hAnsi="Times New Roman" w:cs="Times New Roman"/>
          <w:sz w:val="28"/>
          <w:szCs w:val="28"/>
        </w:rPr>
        <w:t>.</w:t>
      </w:r>
    </w:p>
    <w:p w:rsidR="009338CC" w:rsidRPr="008A1F12" w:rsidRDefault="009338CC" w:rsidP="008F1B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38E8" w:rsidRPr="008A1F12" w:rsidRDefault="00A138E8" w:rsidP="00A138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F12">
        <w:rPr>
          <w:rFonts w:ascii="Times New Roman" w:hAnsi="Times New Roman" w:cs="Times New Roman"/>
          <w:b/>
          <w:sz w:val="28"/>
          <w:szCs w:val="28"/>
        </w:rPr>
        <w:t>Документооборот по работе Комиссии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5"/>
        <w:gridCol w:w="2061"/>
        <w:gridCol w:w="2108"/>
        <w:gridCol w:w="1485"/>
        <w:gridCol w:w="1952"/>
      </w:tblGrid>
      <w:tr w:rsidR="008A1F12" w:rsidTr="0088213D">
        <w:tc>
          <w:tcPr>
            <w:tcW w:w="1965" w:type="dxa"/>
          </w:tcPr>
          <w:p w:rsidR="008A1F12" w:rsidRDefault="008A1F12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061" w:type="dxa"/>
          </w:tcPr>
          <w:p w:rsidR="008A1F12" w:rsidRDefault="008A1F12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08" w:type="dxa"/>
          </w:tcPr>
          <w:p w:rsidR="008A1F12" w:rsidRDefault="008A1F12" w:rsidP="00E031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0318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88213D">
              <w:rPr>
                <w:rFonts w:ascii="Times New Roman" w:hAnsi="Times New Roman" w:cs="Times New Roman"/>
                <w:sz w:val="28"/>
                <w:szCs w:val="28"/>
              </w:rPr>
              <w:t>-представления</w:t>
            </w:r>
          </w:p>
        </w:tc>
        <w:tc>
          <w:tcPr>
            <w:tcW w:w="1485" w:type="dxa"/>
          </w:tcPr>
          <w:p w:rsidR="008A1F12" w:rsidRDefault="008A1F12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Хранение </w:t>
            </w:r>
          </w:p>
        </w:tc>
        <w:tc>
          <w:tcPr>
            <w:tcW w:w="1952" w:type="dxa"/>
          </w:tcPr>
          <w:p w:rsidR="008A1F12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03189" w:rsidTr="0088213D">
        <w:tc>
          <w:tcPr>
            <w:tcW w:w="1965" w:type="dxa"/>
          </w:tcPr>
          <w:p w:rsidR="00E03189" w:rsidRDefault="00E03189" w:rsidP="00E031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календарный год</w:t>
            </w:r>
          </w:p>
        </w:tc>
        <w:tc>
          <w:tcPr>
            <w:tcW w:w="2061" w:type="dxa"/>
          </w:tcPr>
          <w:p w:rsidR="00E03189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08" w:type="dxa"/>
          </w:tcPr>
          <w:p w:rsidR="00E03189" w:rsidRDefault="0088213D" w:rsidP="00E031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03189">
              <w:rPr>
                <w:rFonts w:ascii="Times New Roman" w:hAnsi="Times New Roman" w:cs="Times New Roman"/>
                <w:sz w:val="28"/>
                <w:szCs w:val="28"/>
              </w:rPr>
              <w:t xml:space="preserve">а первое заседание </w:t>
            </w:r>
            <w:proofErr w:type="gramStart"/>
            <w:r w:rsidR="00E03189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="00E03189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</w:t>
            </w:r>
          </w:p>
        </w:tc>
        <w:tc>
          <w:tcPr>
            <w:tcW w:w="1485" w:type="dxa"/>
          </w:tcPr>
          <w:p w:rsidR="00E03189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копия архив</w:t>
            </w:r>
          </w:p>
        </w:tc>
        <w:tc>
          <w:tcPr>
            <w:tcW w:w="1952" w:type="dxa"/>
          </w:tcPr>
          <w:p w:rsidR="00E03189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189" w:rsidTr="0088213D">
        <w:tc>
          <w:tcPr>
            <w:tcW w:w="1965" w:type="dxa"/>
          </w:tcPr>
          <w:p w:rsidR="00E03189" w:rsidRPr="008A1F12" w:rsidRDefault="00E03189" w:rsidP="00E031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Повестка заседания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материалами</w:t>
            </w:r>
          </w:p>
        </w:tc>
        <w:tc>
          <w:tcPr>
            <w:tcW w:w="2061" w:type="dxa"/>
          </w:tcPr>
          <w:p w:rsidR="00E03189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08" w:type="dxa"/>
          </w:tcPr>
          <w:p w:rsidR="00E03189" w:rsidRDefault="00E03189" w:rsidP="00E031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позднее, чем за 7 рабочих дней до заседания</w:t>
            </w:r>
          </w:p>
        </w:tc>
        <w:tc>
          <w:tcPr>
            <w:tcW w:w="1485" w:type="dxa"/>
          </w:tcPr>
          <w:p w:rsidR="00E03189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952" w:type="dxa"/>
          </w:tcPr>
          <w:p w:rsidR="00E03189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189" w:rsidTr="0088213D">
        <w:tc>
          <w:tcPr>
            <w:tcW w:w="1965" w:type="dxa"/>
          </w:tcPr>
          <w:p w:rsidR="00E03189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Материалы для рассмотрения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заседании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</w:p>
        </w:tc>
        <w:tc>
          <w:tcPr>
            <w:tcW w:w="2061" w:type="dxa"/>
          </w:tcPr>
          <w:p w:rsidR="00E03189" w:rsidRDefault="00E03189" w:rsidP="00E031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Структурные подразделения</w:t>
            </w:r>
          </w:p>
        </w:tc>
        <w:tc>
          <w:tcPr>
            <w:tcW w:w="2108" w:type="dxa"/>
          </w:tcPr>
          <w:p w:rsidR="00E03189" w:rsidRPr="008A1F12" w:rsidRDefault="00E03189" w:rsidP="00E031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позднее, чем за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A1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рабочих дней до </w:t>
            </w:r>
            <w:r w:rsidRPr="008A1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заседания</w:t>
            </w:r>
          </w:p>
        </w:tc>
        <w:tc>
          <w:tcPr>
            <w:tcW w:w="1485" w:type="dxa"/>
          </w:tcPr>
          <w:p w:rsidR="00E03189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952" w:type="dxa"/>
          </w:tcPr>
          <w:p w:rsidR="00E03189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F12" w:rsidTr="0088213D">
        <w:tc>
          <w:tcPr>
            <w:tcW w:w="1965" w:type="dxa"/>
          </w:tcPr>
          <w:p w:rsidR="008A1F12" w:rsidRDefault="008A1F12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заседания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061" w:type="dxa"/>
          </w:tcPr>
          <w:p w:rsidR="008A1F12" w:rsidRDefault="008A1F12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08" w:type="dxa"/>
          </w:tcPr>
          <w:p w:rsidR="008A1F12" w:rsidRDefault="008A1F12" w:rsidP="00E031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E0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10-дневный </w:t>
            </w:r>
            <w:r w:rsidRPr="008A1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после заседания</w:t>
            </w:r>
          </w:p>
        </w:tc>
        <w:tc>
          <w:tcPr>
            <w:tcW w:w="1485" w:type="dxa"/>
          </w:tcPr>
          <w:p w:rsidR="008A1F12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952" w:type="dxa"/>
          </w:tcPr>
          <w:p w:rsidR="008A1F12" w:rsidRDefault="008A1F12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F12" w:rsidTr="0088213D">
        <w:tc>
          <w:tcPr>
            <w:tcW w:w="1965" w:type="dxa"/>
          </w:tcPr>
          <w:p w:rsidR="008A1F12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протокола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решениями</w:t>
            </w:r>
          </w:p>
        </w:tc>
        <w:tc>
          <w:tcPr>
            <w:tcW w:w="2061" w:type="dxa"/>
          </w:tcPr>
          <w:p w:rsidR="008A1F12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08" w:type="dxa"/>
          </w:tcPr>
          <w:p w:rsidR="008A1F12" w:rsidRDefault="0088213D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03189">
              <w:rPr>
                <w:rFonts w:ascii="Times New Roman" w:hAnsi="Times New Roman" w:cs="Times New Roman"/>
                <w:sz w:val="28"/>
                <w:szCs w:val="28"/>
              </w:rPr>
              <w:t>ерез 3 дня после утверждения протокола</w:t>
            </w:r>
          </w:p>
        </w:tc>
        <w:tc>
          <w:tcPr>
            <w:tcW w:w="1485" w:type="dxa"/>
          </w:tcPr>
          <w:p w:rsidR="008A1F12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952" w:type="dxa"/>
          </w:tcPr>
          <w:p w:rsidR="008A1F12" w:rsidRPr="00E03189" w:rsidRDefault="00E03189" w:rsidP="00A138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89">
              <w:rPr>
                <w:rFonts w:ascii="Times New Roman" w:hAnsi="Times New Roman" w:cs="Times New Roman"/>
                <w:sz w:val="24"/>
                <w:szCs w:val="24"/>
              </w:rPr>
              <w:t>Копии в структурных подразделениях, вопросы которых рассматривались на заседании</w:t>
            </w:r>
          </w:p>
        </w:tc>
      </w:tr>
      <w:tr w:rsidR="008A1F12" w:rsidTr="0088213D">
        <w:tc>
          <w:tcPr>
            <w:tcW w:w="1965" w:type="dxa"/>
          </w:tcPr>
          <w:p w:rsidR="008A1F12" w:rsidRDefault="0088213D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Служебная записка о продлении сроков исполнения решения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061" w:type="dxa"/>
          </w:tcPr>
          <w:p w:rsidR="008A1F12" w:rsidRDefault="0088213D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</w:t>
            </w:r>
          </w:p>
        </w:tc>
        <w:tc>
          <w:tcPr>
            <w:tcW w:w="2108" w:type="dxa"/>
          </w:tcPr>
          <w:p w:rsidR="008A1F12" w:rsidRDefault="0088213D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3 рабочих дня до установленного решением ЭК срока </w:t>
            </w:r>
          </w:p>
        </w:tc>
        <w:tc>
          <w:tcPr>
            <w:tcW w:w="1485" w:type="dxa"/>
          </w:tcPr>
          <w:p w:rsidR="008A1F12" w:rsidRDefault="008A1F12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8A1F12" w:rsidRDefault="008A1F12" w:rsidP="00A138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8E8" w:rsidRPr="008A1F12" w:rsidRDefault="00A138E8" w:rsidP="00A944D7">
      <w:pPr>
        <w:spacing w:after="200"/>
        <w:rPr>
          <w:sz w:val="28"/>
          <w:szCs w:val="28"/>
        </w:rPr>
      </w:pPr>
      <w:bookmarkStart w:id="0" w:name="_GoBack"/>
      <w:bookmarkEnd w:id="0"/>
    </w:p>
    <w:sectPr w:rsidR="00A138E8" w:rsidRPr="008A1F12" w:rsidSect="0093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BF9"/>
    <w:rsid w:val="003167DA"/>
    <w:rsid w:val="00334DB4"/>
    <w:rsid w:val="00341779"/>
    <w:rsid w:val="005B760C"/>
    <w:rsid w:val="005F0300"/>
    <w:rsid w:val="006D3776"/>
    <w:rsid w:val="0088213D"/>
    <w:rsid w:val="008A1F12"/>
    <w:rsid w:val="008F1BF9"/>
    <w:rsid w:val="009338CC"/>
    <w:rsid w:val="009B1D08"/>
    <w:rsid w:val="009C4C20"/>
    <w:rsid w:val="00A018F5"/>
    <w:rsid w:val="00A138E8"/>
    <w:rsid w:val="00A944D7"/>
    <w:rsid w:val="00AE1BC1"/>
    <w:rsid w:val="00B37B4A"/>
    <w:rsid w:val="00B40927"/>
    <w:rsid w:val="00B85E07"/>
    <w:rsid w:val="00C37980"/>
    <w:rsid w:val="00C61F4E"/>
    <w:rsid w:val="00DC1B7E"/>
    <w:rsid w:val="00DD45D6"/>
    <w:rsid w:val="00E0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F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1B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1B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1B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1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1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1BF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F1BF9"/>
    <w:pPr>
      <w:spacing w:after="0"/>
    </w:pPr>
  </w:style>
  <w:style w:type="paragraph" w:customStyle="1" w:styleId="ConsPlusNormal">
    <w:name w:val="ConsPlusNormal"/>
    <w:rsid w:val="008F1BF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F1BF9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A1F1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Татьяна</cp:lastModifiedBy>
  <cp:revision>8</cp:revision>
  <dcterms:created xsi:type="dcterms:W3CDTF">2022-06-30T04:05:00Z</dcterms:created>
  <dcterms:modified xsi:type="dcterms:W3CDTF">2022-09-29T13:45:00Z</dcterms:modified>
</cp:coreProperties>
</file>